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B0" w:rsidRPr="00B543B0" w:rsidRDefault="00B543B0" w:rsidP="00B543B0">
      <w:pPr>
        <w:shd w:val="clear" w:color="auto" w:fill="FFFFFF"/>
        <w:tabs>
          <w:tab w:val="left" w:pos="7305"/>
        </w:tabs>
        <w:spacing w:before="96" w:after="0" w:line="240" w:lineRule="auto"/>
        <w:ind w:right="-16"/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lang w:eastAsia="ru-RU"/>
        </w:rPr>
        <w:tab/>
      </w:r>
      <w:r w:rsidR="00CF2BB1"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lang w:eastAsia="ru-RU"/>
        </w:rPr>
        <w:tab/>
      </w:r>
      <w:r w:rsidR="00CF2BB1"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lang w:eastAsia="ru-RU"/>
        </w:rPr>
        <w:tab/>
      </w:r>
      <w:r w:rsidR="00CF2BB1"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lang w:eastAsia="ru-RU"/>
        </w:rPr>
        <w:tab/>
      </w:r>
      <w:r w:rsidRPr="00B54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43B0" w:rsidRPr="00B543B0" w:rsidRDefault="00B543B0" w:rsidP="00B543B0">
      <w:pPr>
        <w:shd w:val="clear" w:color="auto" w:fill="FFFFFF"/>
        <w:spacing w:before="96" w:after="0" w:line="240" w:lineRule="auto"/>
        <w:ind w:right="-16"/>
        <w:jc w:val="center"/>
        <w:rPr>
          <w:rFonts w:ascii="Times New Roman" w:eastAsia="Times New Roman" w:hAnsi="Times New Roman" w:cs="Times New Roman"/>
          <w:color w:val="000000"/>
          <w:w w:val="103"/>
          <w:sz w:val="24"/>
          <w:szCs w:val="29"/>
          <w:lang w:eastAsia="ru-RU"/>
        </w:rPr>
      </w:pPr>
      <w:r w:rsidRPr="00B543B0">
        <w:rPr>
          <w:rFonts w:ascii="Times New Roman" w:eastAsia="Times New Roman" w:hAnsi="Times New Roman" w:cs="Times New Roman"/>
          <w:color w:val="000000"/>
          <w:w w:val="103"/>
          <w:sz w:val="32"/>
          <w:szCs w:val="32"/>
          <w:lang w:eastAsia="ru-RU"/>
        </w:rPr>
        <w:t xml:space="preserve">ПОСТАНОВЛЕНИЕ </w:t>
      </w:r>
    </w:p>
    <w:p w:rsidR="00B543B0" w:rsidRPr="00B543B0" w:rsidRDefault="00B543B0" w:rsidP="00B5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Новоселицкого муниципального </w:t>
      </w:r>
      <w:r w:rsidR="0048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B543B0" w:rsidRPr="00B543B0" w:rsidRDefault="00B543B0" w:rsidP="00B5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</w:t>
      </w:r>
    </w:p>
    <w:p w:rsidR="00B543B0" w:rsidRPr="00B543B0" w:rsidRDefault="00B543B0" w:rsidP="00B5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543B0" w:rsidRPr="00B543B0" w:rsidRDefault="00B543B0" w:rsidP="00B5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B543B0" w:rsidRPr="00B543B0" w:rsidRDefault="005F65ED" w:rsidP="00B543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ноябрь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2021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г.                    </w:t>
      </w:r>
      <w:r w:rsidR="00583C1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с. Новоселицкое                                       </w:t>
      </w:r>
      <w:r w:rsidR="00583C15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                     </w:t>
      </w:r>
      <w:r w:rsidR="00B543B0" w:rsidRPr="00B543B0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№__</w:t>
      </w:r>
    </w:p>
    <w:p w:rsidR="00B543B0" w:rsidRPr="00B543B0" w:rsidRDefault="00B543B0" w:rsidP="00B5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1501C7" w:rsidP="00150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1C7" w:rsidRPr="001501C7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1C7" w:rsidRPr="001501C7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</w:p>
    <w:p w:rsidR="001501C7" w:rsidRPr="001501C7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A97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6151" w:rsidRDefault="001501C7" w:rsidP="001501C7">
      <w:pPr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год </w:t>
      </w:r>
    </w:p>
    <w:p w:rsidR="001501C7" w:rsidRPr="001501C7" w:rsidRDefault="00426151" w:rsidP="001501C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B19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01C7" w:rsidRPr="001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E27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1501C7" w:rsidRPr="001501C7" w:rsidRDefault="001501C7" w:rsidP="001501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</w:t>
      </w:r>
      <w:r w:rsidR="007B199E" w:rsidRPr="001501C7">
        <w:rPr>
          <w:rFonts w:ascii="Times New Roman" w:eastAsia="Times New Roman" w:hAnsi="Times New Roman" w:cs="Times New Roman"/>
          <w:bCs/>
          <w:sz w:val="28"/>
          <w:szCs w:val="28"/>
        </w:rPr>
        <w:t>от 28.06.2014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№172 «О стратегическом планировании в Российской Федерации» и 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разработки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корректировки, осуществления мониторинга и контроля реализации 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прогноза социально - экономического развития Новоселицкого муниципального </w:t>
      </w:r>
      <w:r w:rsidR="007B199E" w:rsidRPr="00666D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B199E" w:rsidRPr="0087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 w:rsidR="007B1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среднесрочный период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я 20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21 г. №367</w:t>
      </w:r>
      <w:r w:rsidR="002965C5">
        <w:rPr>
          <w:rFonts w:ascii="Times New Roman" w:eastAsia="Times New Roman" w:hAnsi="Times New Roman" w:cs="Times New Roman"/>
          <w:bCs/>
          <w:sz w:val="28"/>
          <w:szCs w:val="28"/>
        </w:rPr>
        <w:t>, утвержденным постановлением администрации Новоселицкого муниципального округа Ставропольского края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, администрация Новоселицкого муниципального </w:t>
      </w:r>
      <w:r w:rsidR="004843E1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65C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1501C7" w:rsidRPr="001501C7" w:rsidRDefault="001501C7" w:rsidP="00150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501C7" w:rsidRDefault="001501C7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Одобрить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w:anchor="Par25" w:history="1">
        <w:r w:rsidRPr="001501C7">
          <w:rPr>
            <w:rFonts w:ascii="Times New Roman" w:eastAsia="Times New Roman" w:hAnsi="Times New Roman" w:cs="Times New Roman"/>
            <w:bCs/>
            <w:sz w:val="28"/>
            <w:szCs w:val="28"/>
          </w:rPr>
          <w:t>прогноз</w:t>
        </w:r>
      </w:hyperlink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социально-экономического развития Новоселицкого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501C7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 и на период до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7B199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 w:rsidR="003A48D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 w:rsidR="009B354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3A48D6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9B354F" w:rsidRDefault="009B354F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1.1 Утвердить пояснительную записку к прогнозу 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социально-экономического развития Новоселицкого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</w:t>
      </w:r>
      <w:r w:rsidRPr="001501C7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 и на период до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92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2</w:t>
      </w:r>
      <w:r w:rsidRPr="001501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3C15" w:rsidRDefault="00583C15" w:rsidP="00AA5E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3E15" w:rsidRPr="00B83E15" w:rsidRDefault="00583C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15" w:rsidRPr="00B83E1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И.А.</w:t>
      </w:r>
    </w:p>
    <w:p w:rsidR="00B83E15" w:rsidRDefault="00B83E15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B83E15" w:rsidP="00B83E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3E1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83E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вступает в силу со дня его обнародования.</w:t>
      </w:r>
    </w:p>
    <w:p w:rsidR="00B83E15" w:rsidRPr="00B83E15" w:rsidRDefault="00B83E15" w:rsidP="00B83E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B83E15" w:rsidP="00B83E15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E15" w:rsidRPr="00B83E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B83E15" w:rsidRPr="00B83E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583C15" w:rsidRDefault="00B83E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</w:t>
      </w:r>
      <w:r w:rsidR="00CF2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E15">
        <w:rPr>
          <w:rFonts w:ascii="Times New Roman" w:eastAsia="Calibri" w:hAnsi="Times New Roman" w:cs="Times New Roman"/>
          <w:sz w:val="28"/>
          <w:szCs w:val="28"/>
          <w:lang w:eastAsia="ru-RU"/>
        </w:rPr>
        <w:t>Р.А.Коврыга</w:t>
      </w:r>
      <w:proofErr w:type="spellEnd"/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C15" w:rsidRDefault="00583C15" w:rsidP="00B83E1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5EBD" w:rsidRDefault="00AA5EBD">
      <w:pPr>
        <w:sectPr w:rsidR="00AA5EBD" w:rsidSect="001501C7">
          <w:headerReference w:type="default" r:id="rId7"/>
          <w:pgSz w:w="11906" w:h="16838"/>
          <w:pgMar w:top="395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975"/>
        <w:tblW w:w="16018" w:type="dxa"/>
        <w:tblLayout w:type="fixed"/>
        <w:tblLook w:val="04A0" w:firstRow="1" w:lastRow="0" w:firstColumn="1" w:lastColumn="0" w:noHBand="0" w:noVBand="1"/>
      </w:tblPr>
      <w:tblGrid>
        <w:gridCol w:w="1880"/>
        <w:gridCol w:w="12721"/>
        <w:gridCol w:w="1417"/>
      </w:tblGrid>
      <w:tr w:rsidR="004F38E9" w:rsidRPr="004F38E9" w:rsidTr="00A51E1A">
        <w:trPr>
          <w:gridBefore w:val="1"/>
          <w:wBefore w:w="1880" w:type="dxa"/>
          <w:trHeight w:val="1513"/>
        </w:trPr>
        <w:tc>
          <w:tcPr>
            <w:tcW w:w="14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7E95" w:rsidRPr="004F38E9" w:rsidRDefault="00097E95" w:rsidP="00097E95">
            <w:pPr>
              <w:spacing w:after="0" w:line="240" w:lineRule="auto"/>
              <w:ind w:right="-66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7E95" w:rsidRPr="004F38E9" w:rsidRDefault="00CF2BB1" w:rsidP="00CF2BB1">
            <w:pPr>
              <w:spacing w:after="0" w:line="240" w:lineRule="exact"/>
              <w:ind w:left="104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097E95"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097E95" w:rsidRPr="004F38E9" w:rsidRDefault="00CF2BB1" w:rsidP="00CF2B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="00097E95"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F2BB1" w:rsidRPr="004F38E9" w:rsidRDefault="00CF2BB1" w:rsidP="00CF2BB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="006B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97E95"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Новоселицкого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097E95" w:rsidRDefault="006B76A0" w:rsidP="00CF2BB1">
            <w:pPr>
              <w:spacing w:after="0" w:line="240" w:lineRule="exact"/>
              <w:ind w:firstLine="98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097E95"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097E95" w:rsidRPr="004F38E9" w:rsidRDefault="006B76A0" w:rsidP="006B76A0">
            <w:pPr>
              <w:spacing w:after="0" w:line="240" w:lineRule="exact"/>
              <w:ind w:left="104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9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6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="0009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C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7E95" w:rsidRPr="004F38E9" w:rsidRDefault="00097E95" w:rsidP="00097E95">
            <w:pPr>
              <w:spacing w:after="0" w:line="240" w:lineRule="exact"/>
              <w:ind w:left="104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="006B7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2п</w:t>
            </w:r>
          </w:p>
          <w:p w:rsidR="00097E95" w:rsidRPr="004F38E9" w:rsidRDefault="00097E95" w:rsidP="00097E9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3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322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1218"/>
        </w:trPr>
        <w:tc>
          <w:tcPr>
            <w:tcW w:w="146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7E95" w:rsidRPr="004F38E9" w:rsidTr="00A51E1A">
        <w:trPr>
          <w:gridAfter w:val="1"/>
          <w:wAfter w:w="1417" w:type="dxa"/>
          <w:trHeight w:val="1218"/>
        </w:trPr>
        <w:tc>
          <w:tcPr>
            <w:tcW w:w="14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BB1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="00CF2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09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 социально-экономического развития Новоселицкого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7E95" w:rsidRPr="00097E95" w:rsidRDefault="002056ED" w:rsidP="0020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097E95" w:rsidRPr="0009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</w:t>
            </w:r>
            <w:r w:rsidR="00B35E52" w:rsidRPr="00097E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B35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E52" w:rsidRPr="00150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r w:rsidR="00426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2022 год и на период до</w:t>
            </w:r>
            <w:r w:rsidR="00426151" w:rsidRPr="00150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426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426151" w:rsidRPr="001501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</w:t>
            </w:r>
            <w:r w:rsidR="00426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097E95" w:rsidRPr="004F38E9" w:rsidRDefault="00097E95" w:rsidP="00097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5"/>
        <w:gridCol w:w="1744"/>
        <w:gridCol w:w="1229"/>
        <w:gridCol w:w="1229"/>
        <w:gridCol w:w="1229"/>
        <w:gridCol w:w="1365"/>
        <w:gridCol w:w="1292"/>
        <w:gridCol w:w="1462"/>
        <w:gridCol w:w="1292"/>
        <w:gridCol w:w="1422"/>
        <w:gridCol w:w="1292"/>
      </w:tblGrid>
      <w:tr w:rsidR="002056ED" w:rsidRPr="002056ED" w:rsidTr="002056ED">
        <w:trPr>
          <w:trHeight w:val="750"/>
        </w:trPr>
        <w:tc>
          <w:tcPr>
            <w:tcW w:w="2735" w:type="dxa"/>
            <w:vMerge w:val="restart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744" w:type="dxa"/>
            <w:vMerge w:val="restart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Оценка показателя</w:t>
            </w:r>
          </w:p>
        </w:tc>
        <w:tc>
          <w:tcPr>
            <w:tcW w:w="8125" w:type="dxa"/>
            <w:gridSpan w:val="6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29" w:type="dxa"/>
            <w:vMerge w:val="restart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29" w:type="dxa"/>
            <w:vMerge w:val="restart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657" w:type="dxa"/>
            <w:gridSpan w:val="2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54" w:type="dxa"/>
            <w:gridSpan w:val="2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14" w:type="dxa"/>
            <w:gridSpan w:val="2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ind w:left="-114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ED">
              <w:rPr>
                <w:rFonts w:ascii="Times New Roman" w:hAnsi="Times New Roman" w:cs="Times New Roman"/>
                <w:sz w:val="18"/>
                <w:szCs w:val="18"/>
              </w:rPr>
              <w:t>консервативный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ED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ind w:left="-17" w:right="-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ED">
              <w:rPr>
                <w:rFonts w:ascii="Times New Roman" w:hAnsi="Times New Roman" w:cs="Times New Roman"/>
                <w:sz w:val="18"/>
                <w:szCs w:val="18"/>
              </w:rPr>
              <w:t>консервативный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ED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ind w:left="-57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ED">
              <w:rPr>
                <w:rFonts w:ascii="Times New Roman" w:hAnsi="Times New Roman" w:cs="Times New Roman"/>
                <w:sz w:val="18"/>
                <w:szCs w:val="18"/>
              </w:rPr>
              <w:t>консервативный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ED">
              <w:rPr>
                <w:rFonts w:ascii="Times New Roman" w:hAnsi="Times New Roman" w:cs="Times New Roman"/>
                <w:sz w:val="18"/>
                <w:szCs w:val="18"/>
              </w:rPr>
              <w:t>базовый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Merge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 вариант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 вариант</w:t>
            </w:r>
          </w:p>
        </w:tc>
      </w:tr>
      <w:tr w:rsidR="002056ED" w:rsidRPr="002056ED" w:rsidTr="00024E00">
        <w:trPr>
          <w:trHeight w:val="237"/>
        </w:trPr>
        <w:tc>
          <w:tcPr>
            <w:tcW w:w="16291" w:type="dxa"/>
            <w:gridSpan w:val="11"/>
            <w:hideMark/>
          </w:tcPr>
          <w:p w:rsidR="002056ED" w:rsidRPr="002056ED" w:rsidRDefault="002056ED" w:rsidP="0002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</w:t>
            </w:r>
          </w:p>
        </w:tc>
      </w:tr>
      <w:tr w:rsidR="002056ED" w:rsidRPr="002056ED" w:rsidTr="002056ED">
        <w:trPr>
          <w:trHeight w:val="37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2056ED" w:rsidRPr="002056ED" w:rsidTr="002056ED">
        <w:trPr>
          <w:trHeight w:val="76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трудоспособного возраста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(на 1 января года)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2056ED" w:rsidRPr="002056ED" w:rsidTr="002056ED">
        <w:trPr>
          <w:trHeight w:val="88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старше трудоспособного возраста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(на 1 января года)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2056ED" w:rsidRPr="002056ED" w:rsidTr="002056ED">
        <w:trPr>
          <w:trHeight w:val="1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число лет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72,9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2056ED" w:rsidRPr="002056ED" w:rsidTr="002056ED">
        <w:trPr>
          <w:trHeight w:val="109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Общий коэффициент рождаемости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число родившихся живыми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на 1000 человек населения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2056ED" w:rsidRPr="002056ED" w:rsidTr="002056ED">
        <w:trPr>
          <w:trHeight w:val="69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</w:tr>
      <w:tr w:rsidR="002056ED" w:rsidRPr="002056ED" w:rsidTr="002056ED">
        <w:trPr>
          <w:trHeight w:val="55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 1000 человек населения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-2,2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-2,7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-2,2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-1,8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056ED" w:rsidRPr="002056ED" w:rsidTr="002056ED">
        <w:trPr>
          <w:trHeight w:val="42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-0,02</w:t>
            </w:r>
          </w:p>
        </w:tc>
      </w:tr>
      <w:tr w:rsidR="002056ED" w:rsidRPr="002056ED" w:rsidTr="002056ED">
        <w:trPr>
          <w:trHeight w:val="375"/>
        </w:trPr>
        <w:tc>
          <w:tcPr>
            <w:tcW w:w="16291" w:type="dxa"/>
            <w:gridSpan w:val="11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Промышленное производство </w:t>
            </w:r>
          </w:p>
        </w:tc>
      </w:tr>
      <w:tr w:rsidR="002056ED" w:rsidRPr="002056ED" w:rsidTr="00024E00">
        <w:trPr>
          <w:trHeight w:val="141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2056ED" w:rsidRPr="002056ED" w:rsidTr="00024E00">
        <w:trPr>
          <w:trHeight w:val="140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104,68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86,60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105,82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106,48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101,25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101,24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101,23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101,35</w:t>
            </w:r>
          </w:p>
        </w:tc>
      </w:tr>
      <w:tr w:rsidR="002056ED" w:rsidRPr="002056ED" w:rsidTr="00024E00">
        <w:trPr>
          <w:trHeight w:val="154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</w:tr>
      <w:tr w:rsidR="002056ED" w:rsidRPr="002056ED" w:rsidTr="002056ED">
        <w:trPr>
          <w:trHeight w:val="18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РАЗДЕЛ C: Обрабатывающие производства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2056ED" w:rsidRPr="002056ED" w:rsidTr="00024E00">
        <w:trPr>
          <w:trHeight w:val="1426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- 10 Производство пищевых продуктов*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69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-10 Производство пищевых продуктов*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09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- 11 Производство напитков*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06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-11 Производство напитков*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32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- 12 Производство табачных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18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- 12 Производство табачных изделий 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4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- 13 Производство текстильных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4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 роста отгрузки - 13 Производство текстильных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97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- 14 Производство одежды*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08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- 14 Производство одежды*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219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235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отгрузки - 16 Обработка древесины и производство изделий из дерева и пробки, кроме мебели, производство изделий из соломки и материалов для плетения*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4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- 17 Производство бумаги и бумажных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4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 роста отгрузки - 17 Производство бумаги и бумажных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82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- 18 Деятельность полиграфическая и копирование носителей информации*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1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- 18 Деятельность полиграфическая и копирование носителей информации*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65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- 20 Производство химических веществ и химических продуктов**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2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- 20 Производство химических веществ и химических продуктов**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85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- 21 Производство лекарственных средств и материалов, применяемых в медицинских целях*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28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- 21 Производство лекарственных средств и материалов, применяемых в медицинских целях*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396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- 22 Производство резиновых и пластмассовых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4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- 22 Производство резиновых и пластмассовых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68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- 23 Производство прочей неметаллической минеральной продукции*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3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- 23 Производство прочей неметаллической минеральной продукции*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38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- 24 Производство металлургическое*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18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- 24 Производство металлургическое*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85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- 25 Производство готовых металлических изделий, кроме машин и оборудования*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26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- 25 Производство готовых металлических изделий, кроме машин и оборудования*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68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- 26 Производство компьютеров, электронных и  оптических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26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- 26 Производство компьютеров, электронных и  оптических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52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- 27 Производство электрического оборудования*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4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- 27 Производство электрического оборудования*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70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- 30 Производство прочих транспортных средств и оборудования*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2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- 30 Производство прочих транспортных средств и оборудования*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23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- 31 Производство мебели*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12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- 31 Производство мебели*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024E00">
        <w:trPr>
          <w:trHeight w:val="138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- 32 Производство прочих готовых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162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- 32 Производство прочих готовых изделий*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4E00" w:rsidRPr="002056ED" w:rsidTr="008F6087">
        <w:trPr>
          <w:trHeight w:val="600"/>
        </w:trPr>
        <w:tc>
          <w:tcPr>
            <w:tcW w:w="16291" w:type="dxa"/>
            <w:gridSpan w:val="11"/>
            <w:hideMark/>
          </w:tcPr>
          <w:p w:rsidR="00024E00" w:rsidRPr="002056ED" w:rsidRDefault="00024E00" w:rsidP="00024E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 </w:t>
            </w:r>
          </w:p>
        </w:tc>
      </w:tr>
      <w:tr w:rsidR="002056ED" w:rsidRPr="002056ED" w:rsidTr="00154C05">
        <w:trPr>
          <w:trHeight w:val="170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56ED" w:rsidRPr="002056ED" w:rsidTr="00154C05">
        <w:trPr>
          <w:trHeight w:val="113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4C05" w:rsidRPr="002056ED" w:rsidTr="00154C05">
        <w:trPr>
          <w:trHeight w:val="263"/>
        </w:trPr>
        <w:tc>
          <w:tcPr>
            <w:tcW w:w="16291" w:type="dxa"/>
            <w:gridSpan w:val="11"/>
            <w:hideMark/>
          </w:tcPr>
          <w:p w:rsidR="00154C05" w:rsidRPr="002056ED" w:rsidRDefault="00154C05" w:rsidP="0015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 </w:t>
            </w:r>
          </w:p>
          <w:p w:rsidR="00154C05" w:rsidRPr="002056ED" w:rsidRDefault="00154C05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2056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56ED" w:rsidRPr="002056ED" w:rsidTr="00154C05">
        <w:trPr>
          <w:trHeight w:val="140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отгрузки - РАЗДЕЛ E: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4C05" w:rsidRPr="002056ED" w:rsidTr="00154C05">
        <w:trPr>
          <w:trHeight w:val="263"/>
        </w:trPr>
        <w:tc>
          <w:tcPr>
            <w:tcW w:w="16291" w:type="dxa"/>
            <w:gridSpan w:val="11"/>
            <w:hideMark/>
          </w:tcPr>
          <w:p w:rsidR="00154C05" w:rsidRPr="002056ED" w:rsidRDefault="00154C05" w:rsidP="0015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Сельское хозяйство </w:t>
            </w:r>
          </w:p>
        </w:tc>
      </w:tr>
      <w:tr w:rsidR="002056ED" w:rsidRPr="002056ED" w:rsidTr="00154C05">
        <w:trPr>
          <w:trHeight w:val="42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4212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3931,7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4013,89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4029,58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4133,29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4163,27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4266,96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4316,12</w:t>
            </w:r>
          </w:p>
        </w:tc>
      </w:tr>
      <w:tr w:rsidR="002056ED" w:rsidRPr="002056ED" w:rsidTr="00154C05">
        <w:trPr>
          <w:trHeight w:val="108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64,03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145,78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3395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3126,9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3208,19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3217,58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3326,89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3343,07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3459,96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3486,82</w:t>
            </w:r>
          </w:p>
        </w:tc>
      </w:tr>
      <w:tr w:rsidR="002056ED" w:rsidRPr="002056ED" w:rsidTr="00154C05">
        <w:trPr>
          <w:trHeight w:val="114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производства продукции растениеводства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55,82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165,01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102,60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102,90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103,70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103,90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104,30</w:t>
            </w:r>
          </w:p>
        </w:tc>
      </w:tr>
      <w:tr w:rsidR="002056ED" w:rsidRPr="002056ED" w:rsidTr="00154C05">
        <w:trPr>
          <w:trHeight w:val="26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817,4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801,9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804,8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805,7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806,4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820,2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829,3</w:t>
            </w:r>
          </w:p>
        </w:tc>
      </w:tr>
      <w:tr w:rsidR="002056ED" w:rsidRPr="002056ED" w:rsidTr="00154C05">
        <w:trPr>
          <w:trHeight w:val="97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100,36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100,11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100,89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100,09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101,01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100,07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101,11</w:t>
            </w:r>
          </w:p>
        </w:tc>
      </w:tr>
      <w:tr w:rsidR="002056ED" w:rsidRPr="002056ED" w:rsidTr="00154C05">
        <w:trPr>
          <w:trHeight w:val="243"/>
        </w:trPr>
        <w:tc>
          <w:tcPr>
            <w:tcW w:w="14999" w:type="dxa"/>
            <w:gridSpan w:val="10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Производство важнейших видов продукции в натуральном выражении 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41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Валовой сбор зерна (в весе после доработки)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283,8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219,25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221,5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225,5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226,3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237,2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235,4</w:t>
            </w:r>
          </w:p>
        </w:tc>
      </w:tr>
      <w:tr w:rsidR="002056ED" w:rsidRPr="002056ED" w:rsidTr="00154C05">
        <w:trPr>
          <w:trHeight w:val="38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Валовой сбор сахарной свеклы 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154C05">
        <w:trPr>
          <w:trHeight w:val="47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Валовой сбор семян масличных культур – всего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2056ED" w:rsidRPr="002056ED" w:rsidTr="00154C05">
        <w:trPr>
          <w:trHeight w:val="26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 том числе подсолнечника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</w:tr>
      <w:tr w:rsidR="002056ED" w:rsidRPr="002056ED" w:rsidTr="00154C05">
        <w:trPr>
          <w:trHeight w:val="15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Валовой сбор картофеля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154C05">
        <w:trPr>
          <w:trHeight w:val="18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Валовой сбор овощей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056ED" w:rsidRPr="002056ED" w:rsidTr="00154C05">
        <w:trPr>
          <w:trHeight w:val="37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56ED" w:rsidRPr="002056ED" w:rsidTr="00154C05">
        <w:trPr>
          <w:trHeight w:val="18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056ED" w:rsidRPr="002056ED" w:rsidTr="00154C05">
        <w:trPr>
          <w:trHeight w:val="23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млн.шт</w:t>
            </w:r>
            <w:proofErr w:type="spellEnd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</w:tr>
      <w:tr w:rsidR="00584ECA" w:rsidRPr="002056ED" w:rsidTr="004F1D25">
        <w:trPr>
          <w:trHeight w:val="121"/>
        </w:trPr>
        <w:tc>
          <w:tcPr>
            <w:tcW w:w="16291" w:type="dxa"/>
            <w:gridSpan w:val="11"/>
            <w:hideMark/>
          </w:tcPr>
          <w:p w:rsidR="00584ECA" w:rsidRPr="002056ED" w:rsidRDefault="00584ECA" w:rsidP="00584E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 </w:t>
            </w:r>
          </w:p>
        </w:tc>
      </w:tr>
      <w:tr w:rsidR="002056ED" w:rsidRPr="002056ED" w:rsidTr="00154C05">
        <w:trPr>
          <w:trHeight w:val="74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 ценах соответствующих лет; 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83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37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кв. м общей площади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54C05" w:rsidRPr="002056ED" w:rsidTr="00154C05">
        <w:trPr>
          <w:trHeight w:val="329"/>
        </w:trPr>
        <w:tc>
          <w:tcPr>
            <w:tcW w:w="16291" w:type="dxa"/>
            <w:gridSpan w:val="11"/>
            <w:hideMark/>
          </w:tcPr>
          <w:p w:rsidR="00154C05" w:rsidRPr="002056ED" w:rsidRDefault="00154C05" w:rsidP="0015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Торговля и услуги населению</w:t>
            </w:r>
          </w:p>
        </w:tc>
      </w:tr>
      <w:tr w:rsidR="002056ED" w:rsidRPr="002056ED" w:rsidTr="002056ED">
        <w:trPr>
          <w:trHeight w:val="63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334,2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371,7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399,9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379,6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380,2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382,8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395,4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398,5</w:t>
            </w:r>
          </w:p>
        </w:tc>
      </w:tr>
      <w:tr w:rsidR="002056ED" w:rsidRPr="002056ED" w:rsidTr="00154C05">
        <w:trPr>
          <w:trHeight w:val="100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Индекс физического объема оборота розничной торговли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111,2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2056ED" w:rsidRPr="002056ED" w:rsidTr="002056ED">
        <w:trPr>
          <w:trHeight w:val="63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458,5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471,2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473,9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490,5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493,3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507,2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524,4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535,1</w:t>
            </w:r>
          </w:p>
        </w:tc>
      </w:tr>
      <w:tr w:rsidR="002056ED" w:rsidRPr="002056ED" w:rsidTr="00154C05">
        <w:trPr>
          <w:trHeight w:val="105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платных услуг населению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  <w:r w:rsidRPr="002056ED">
              <w:rPr>
                <w:rFonts w:ascii="Times New Roman" w:hAnsi="Times New Roman" w:cs="Times New Roman"/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113,05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2056ED" w:rsidRPr="002056ED" w:rsidTr="00154C05">
        <w:trPr>
          <w:trHeight w:val="177"/>
        </w:trPr>
        <w:tc>
          <w:tcPr>
            <w:tcW w:w="16291" w:type="dxa"/>
            <w:gridSpan w:val="11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Малое и среднее предпринимательство, включая микропредприятия (без учета индивидуальных предпринимателей)</w:t>
            </w:r>
          </w:p>
        </w:tc>
      </w:tr>
      <w:tr w:rsidR="002056ED" w:rsidRPr="002056ED" w:rsidTr="00154C05">
        <w:trPr>
          <w:trHeight w:val="91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2056ED" w:rsidRPr="002056ED" w:rsidTr="00154C05">
        <w:trPr>
          <w:trHeight w:val="183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2056ED" w:rsidRPr="002056ED" w:rsidTr="00154C05">
        <w:trPr>
          <w:trHeight w:val="68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млрд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4C05" w:rsidRPr="002056ED" w:rsidTr="00154C05">
        <w:trPr>
          <w:trHeight w:val="273"/>
        </w:trPr>
        <w:tc>
          <w:tcPr>
            <w:tcW w:w="16291" w:type="dxa"/>
            <w:gridSpan w:val="11"/>
            <w:hideMark/>
          </w:tcPr>
          <w:p w:rsidR="00154C05" w:rsidRPr="002056ED" w:rsidRDefault="00154C05" w:rsidP="0015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Инвестиции </w:t>
            </w:r>
          </w:p>
        </w:tc>
      </w:tr>
      <w:tr w:rsidR="002056ED" w:rsidRPr="002056ED" w:rsidTr="00154C05">
        <w:trPr>
          <w:trHeight w:val="70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2067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2067,2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2316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2316,5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2527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2527,8</w:t>
            </w:r>
          </w:p>
        </w:tc>
      </w:tr>
      <w:tr w:rsidR="002056ED" w:rsidRPr="002056ED" w:rsidTr="002056ED">
        <w:trPr>
          <w:trHeight w:val="18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117,6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2056ED" w:rsidRPr="002056ED" w:rsidTr="00154C05">
        <w:trPr>
          <w:trHeight w:val="2276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056ED" w:rsidRPr="002056ED" w:rsidTr="00154C05">
        <w:trPr>
          <w:trHeight w:val="110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</w:tr>
      <w:tr w:rsidR="002056ED" w:rsidRPr="002056ED" w:rsidTr="002056ED">
        <w:trPr>
          <w:trHeight w:val="78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Инвестиции в основной капитал по источникам финансирования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Привлеченные средства, из них: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банков, в том числе: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 кредиты иностранных банков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Заемные средства других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Бюджетные средства, в том числе: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4,34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29,65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 бюджеты субъектов Российской Федерации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65,65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 из местных бюджетов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84ECA" w:rsidRPr="002056ED" w:rsidTr="00584ECA">
        <w:trPr>
          <w:trHeight w:val="309"/>
        </w:trPr>
        <w:tc>
          <w:tcPr>
            <w:tcW w:w="16291" w:type="dxa"/>
            <w:gridSpan w:val="11"/>
            <w:hideMark/>
          </w:tcPr>
          <w:p w:rsidR="00584ECA" w:rsidRPr="002056ED" w:rsidRDefault="00584ECA" w:rsidP="00584EC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Консолидированный бюджет </w:t>
            </w:r>
          </w:p>
        </w:tc>
      </w:tr>
      <w:tr w:rsidR="002056ED" w:rsidRPr="002056ED" w:rsidTr="00154C05">
        <w:trPr>
          <w:trHeight w:val="43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Доходы консолидированного бюджета 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861,07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1073,74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990,71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995,69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972,29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977,18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983,42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988,36</w:t>
            </w:r>
          </w:p>
        </w:tc>
      </w:tr>
      <w:tr w:rsidR="002056ED" w:rsidRPr="002056ED" w:rsidTr="00584ECA">
        <w:trPr>
          <w:trHeight w:val="43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Налоговые и неналоговые доходы, всего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206,42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211,92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229,81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230,96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231,22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232,38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239,57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240,77</w:t>
            </w:r>
          </w:p>
        </w:tc>
      </w:tr>
      <w:tr w:rsidR="002056ED" w:rsidRPr="002056ED" w:rsidTr="00154C05">
        <w:trPr>
          <w:trHeight w:val="138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175,02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176,75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194,25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192,72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193,69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191,95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192,92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205,7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206,73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119,92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122,5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126,62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127,26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131,03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131,69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136,28</w:t>
            </w:r>
          </w:p>
        </w:tc>
      </w:tr>
      <w:tr w:rsidR="002056ED" w:rsidRPr="002056ED" w:rsidTr="00154C05">
        <w:trPr>
          <w:trHeight w:val="47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13,98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13,97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13,13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</w:tr>
      <w:tr w:rsidR="002056ED" w:rsidRPr="002056ED" w:rsidTr="00154C05">
        <w:trPr>
          <w:trHeight w:val="58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14,53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15,46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15,54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16,46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налог на игорный бизнес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28,71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30,63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30,78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31,96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33,01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33,18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35,17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33,75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37,08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37,27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32,97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33,14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34,05</w:t>
            </w:r>
          </w:p>
        </w:tc>
      </w:tr>
      <w:tr w:rsidR="002056ED" w:rsidRPr="002056ED" w:rsidTr="00154C05">
        <w:trPr>
          <w:trHeight w:val="37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654,65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861,82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760,91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764,73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741,08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744,8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743,85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747,59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142,32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35,14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22,65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22,76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320,08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434,07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469,23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501,23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503,75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518,2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534,21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536,89</w:t>
            </w:r>
          </w:p>
        </w:tc>
      </w:tr>
      <w:tr w:rsidR="002056ED" w:rsidRPr="002056ED" w:rsidTr="00154C05">
        <w:trPr>
          <w:trHeight w:val="38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дотации из федерального бюджета, в том числе: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167,27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278,44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202,49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223,58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185,88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186,81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122,56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202,49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223,58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199,1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185,88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186,81</w:t>
            </w:r>
          </w:p>
        </w:tc>
      </w:tr>
      <w:tr w:rsidR="002056ED" w:rsidRPr="002056ED" w:rsidTr="00154C05">
        <w:trPr>
          <w:trHeight w:val="85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Расходы консолидированного бюджета, в том числе по направлениям: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635,61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728,8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1194,23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990,71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995,69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972,3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977,18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983,42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988,36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79,61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88,96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138,36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135,22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113,92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114,49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110,97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111,53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8,29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7,76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7,53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123,53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17,31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16,97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17,06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16,68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16,76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15,39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364,54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344,84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525,67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408,87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410,92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404,51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406,54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399,96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401,97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19,97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19,87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79,15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92,29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84,32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84,74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80,95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153,05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258,05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288,73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303,27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304,79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309,37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310,92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323,73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325,36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8,77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8,81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8,64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78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Дефицит(-),профицит(+) консолидированного бюджета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-14,09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45,87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-93,61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056ED" w:rsidRPr="002056ED" w:rsidTr="00154C05">
        <w:trPr>
          <w:trHeight w:val="64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Государственный долг муниципального образования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4C05" w:rsidRPr="002056ED" w:rsidTr="00306B17">
        <w:trPr>
          <w:trHeight w:val="285"/>
        </w:trPr>
        <w:tc>
          <w:tcPr>
            <w:tcW w:w="16291" w:type="dxa"/>
            <w:gridSpan w:val="11"/>
            <w:hideMark/>
          </w:tcPr>
          <w:p w:rsidR="00154C05" w:rsidRPr="002056ED" w:rsidRDefault="00154C05" w:rsidP="0015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 и занятость</w:t>
            </w:r>
          </w:p>
        </w:tc>
      </w:tr>
      <w:tr w:rsidR="002056ED" w:rsidRPr="002056ED" w:rsidTr="002056ED">
        <w:trPr>
          <w:trHeight w:val="3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рабочей силы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15,36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15,29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трудовых ресурсов – всего, в том числе: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16,76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16,82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</w:tr>
      <w:tr w:rsidR="002056ED" w:rsidRPr="002056ED" w:rsidTr="00154C05">
        <w:trPr>
          <w:trHeight w:val="29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трудоспособное население в трудоспособном возрасте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2056ED" w:rsidRPr="002056ED" w:rsidTr="002056ED">
        <w:trPr>
          <w:trHeight w:val="60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иностранные трудовые мигранты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2056ED" w:rsidRPr="002056ED" w:rsidTr="00154C05">
        <w:trPr>
          <w:trHeight w:val="95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2056ED" w:rsidRPr="002056ED" w:rsidTr="00154C05">
        <w:trPr>
          <w:trHeight w:val="42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пенсионеры старше трудоспособного возраста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056ED" w:rsidRPr="002056ED" w:rsidTr="00154C05">
        <w:trPr>
          <w:trHeight w:val="51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подростки моложе трудоспособного возраста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056ED" w:rsidRPr="002056ED" w:rsidTr="00154C05">
        <w:trPr>
          <w:trHeight w:val="83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11,38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</w:tr>
      <w:tr w:rsidR="002056ED" w:rsidRPr="002056ED" w:rsidTr="00154C05">
        <w:trPr>
          <w:trHeight w:val="90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056ED" w:rsidRPr="002056ED" w:rsidTr="00154C05">
        <w:trPr>
          <w:trHeight w:val="822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27342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28420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28865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29345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30224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32037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32344,5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34183,5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34648</w:t>
            </w:r>
          </w:p>
        </w:tc>
      </w:tr>
      <w:tr w:rsidR="002056ED" w:rsidRPr="002056ED" w:rsidTr="00154C05">
        <w:trPr>
          <w:trHeight w:val="103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</w:tr>
      <w:tr w:rsidR="002056ED" w:rsidRPr="002056ED" w:rsidTr="00154C05">
        <w:trPr>
          <w:trHeight w:val="44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56ED" w:rsidRPr="002056ED" w:rsidTr="00154C05">
        <w:trPr>
          <w:trHeight w:val="67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Общая численность безработных (по методологии МОТ)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125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2056ED" w:rsidRPr="002056ED" w:rsidTr="00154C05">
        <w:trPr>
          <w:trHeight w:val="433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млн руб.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1310,2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1320,9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1411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1599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</w:tr>
      <w:tr w:rsidR="002056ED" w:rsidRPr="002056ED" w:rsidTr="00154C05">
        <w:trPr>
          <w:trHeight w:val="71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фонда заработной платы работников организаций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106,5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</w:tr>
      <w:tr w:rsidR="00154C05" w:rsidRPr="002056ED" w:rsidTr="00154C05">
        <w:trPr>
          <w:trHeight w:val="292"/>
        </w:trPr>
        <w:tc>
          <w:tcPr>
            <w:tcW w:w="16291" w:type="dxa"/>
            <w:gridSpan w:val="11"/>
            <w:hideMark/>
          </w:tcPr>
          <w:p w:rsidR="00154C05" w:rsidRPr="002056ED" w:rsidRDefault="00154C05" w:rsidP="00154C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Финансы организаций</w:t>
            </w:r>
          </w:p>
        </w:tc>
      </w:tr>
      <w:tr w:rsidR="002056ED" w:rsidRPr="002056ED" w:rsidTr="00154C05">
        <w:trPr>
          <w:trHeight w:val="97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Темп роста прибыли прибыльных организаций для целей бухгалтерского учета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% г/г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60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социальной сферы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1240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1247</w:t>
            </w:r>
          </w:p>
        </w:tc>
      </w:tr>
      <w:tr w:rsidR="002056ED" w:rsidRPr="002056ED" w:rsidTr="00154C05">
        <w:trPr>
          <w:trHeight w:val="289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Обеспеченность: 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421"/>
        </w:trPr>
        <w:tc>
          <w:tcPr>
            <w:tcW w:w="2735" w:type="dxa"/>
            <w:hideMark/>
          </w:tcPr>
          <w:p w:rsidR="00154C05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больничными койками на</w:t>
            </w:r>
          </w:p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10 000 человек населения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коек 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2056ED" w:rsidRPr="002056ED" w:rsidTr="00154C05">
        <w:trPr>
          <w:trHeight w:val="52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. на 100 </w:t>
            </w: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056ED" w:rsidRPr="002056ED" w:rsidTr="00154C05">
        <w:trPr>
          <w:trHeight w:val="42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. на 100 </w:t>
            </w: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056ED" w:rsidRPr="002056ED" w:rsidTr="00154C05">
        <w:trPr>
          <w:trHeight w:val="654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мест на 1000 детей в возрасте 1-6 лет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</w:tr>
      <w:tr w:rsidR="002056ED" w:rsidRPr="002056ED" w:rsidTr="00154C05">
        <w:trPr>
          <w:trHeight w:val="24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Туризм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838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20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Все страны***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23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Страны вне СНГ***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277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Страны СНГ***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750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российских граждан, выехавших за границу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22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Все страны***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11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Страны вне СНГ***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171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   Страны СНГ***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2056ED">
        <w:trPr>
          <w:trHeight w:val="945"/>
        </w:trPr>
        <w:tc>
          <w:tcPr>
            <w:tcW w:w="2735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Количество российских посетителей из других регионов (резидентов)***</w:t>
            </w:r>
          </w:p>
        </w:tc>
        <w:tc>
          <w:tcPr>
            <w:tcW w:w="1744" w:type="dxa"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859"/>
        </w:trPr>
        <w:tc>
          <w:tcPr>
            <w:tcW w:w="2735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российских туристов, посетивших муниципальное образование***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1211"/>
        </w:trPr>
        <w:tc>
          <w:tcPr>
            <w:tcW w:w="2735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Объем платных услуг, оказываемых организациями санаторно-курортного и туристского комплексов муниципального образования***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млн. руб. 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345"/>
        </w:trPr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600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*  </w:t>
            </w: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г.Ставрополь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6ED" w:rsidRPr="002056ED" w:rsidTr="00154C05">
        <w:trPr>
          <w:trHeight w:val="43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**  г. Ставрополь и </w:t>
            </w: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г.Невинномысск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6ED" w:rsidRPr="002056ED" w:rsidTr="00154C05">
        <w:trPr>
          <w:trHeight w:val="435"/>
        </w:trPr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*** </w:t>
            </w:r>
            <w:proofErr w:type="spellStart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>г.Ставрополь</w:t>
            </w:r>
            <w:proofErr w:type="spellEnd"/>
            <w:r w:rsidRPr="002056ED">
              <w:rPr>
                <w:rFonts w:ascii="Times New Roman" w:hAnsi="Times New Roman" w:cs="Times New Roman"/>
                <w:sz w:val="20"/>
                <w:szCs w:val="20"/>
              </w:rPr>
              <w:t xml:space="preserve"> и города-курорты КМВ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6ED" w:rsidRPr="002056ED" w:rsidTr="00154C05">
        <w:trPr>
          <w:trHeight w:val="37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056ED" w:rsidRPr="002056ED" w:rsidRDefault="002056ED" w:rsidP="00205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6ED" w:rsidRDefault="002056ED" w:rsidP="002056ED">
      <w:pPr>
        <w:jc w:val="center"/>
      </w:pPr>
    </w:p>
    <w:p w:rsidR="003A48D6" w:rsidRPr="002056ED" w:rsidRDefault="002056ED" w:rsidP="002056ED">
      <w:pPr>
        <w:tabs>
          <w:tab w:val="center" w:pos="8150"/>
        </w:tabs>
        <w:sectPr w:rsidR="003A48D6" w:rsidRPr="002056ED" w:rsidSect="00054EAF">
          <w:pgSz w:w="16838" w:h="11906" w:orient="landscape"/>
          <w:pgMar w:top="851" w:right="253" w:bottom="568" w:left="284" w:header="708" w:footer="708" w:gutter="0"/>
          <w:cols w:space="708"/>
          <w:docGrid w:linePitch="360"/>
        </w:sectPr>
      </w:pPr>
      <w:r>
        <w:tab/>
      </w:r>
    </w:p>
    <w:p w:rsidR="003A48D6" w:rsidRPr="003A48D6" w:rsidRDefault="003A48D6" w:rsidP="003A48D6">
      <w:pPr>
        <w:keepNext/>
        <w:spacing w:after="0" w:line="192" w:lineRule="auto"/>
        <w:ind w:left="59" w:firstLine="43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3A48D6" w:rsidRPr="003A48D6" w:rsidRDefault="003A48D6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A48D6" w:rsidRPr="003A48D6" w:rsidRDefault="003A48D6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992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C25A4" w:rsidRDefault="003A48D6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25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8D6" w:rsidRPr="003A48D6" w:rsidRDefault="002545E0" w:rsidP="003A48D6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F65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</w:t>
      </w:r>
    </w:p>
    <w:p w:rsidR="003A48D6" w:rsidRPr="003A48D6" w:rsidRDefault="003A48D6" w:rsidP="003A4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01D3" w:rsidRPr="00D501D3" w:rsidRDefault="00D501D3" w:rsidP="00D501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3" w:rsidRPr="00D501D3" w:rsidRDefault="00D501D3" w:rsidP="00D501D3">
      <w:pPr>
        <w:keepNext/>
        <w:spacing w:after="0" w:line="168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:rsidR="00D501D3" w:rsidRPr="00D501D3" w:rsidRDefault="00D501D3" w:rsidP="00D501D3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прогнозу социально - экономического развития</w:t>
      </w:r>
    </w:p>
    <w:p w:rsidR="00426151" w:rsidRDefault="00D501D3" w:rsidP="00D501D3">
      <w:pPr>
        <w:spacing w:after="0" w:line="16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Новоселицкого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A97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Ставропольского края</w:t>
      </w:r>
    </w:p>
    <w:p w:rsidR="00D501D3" w:rsidRPr="00D501D3" w:rsidRDefault="00D501D3" w:rsidP="00D501D3">
      <w:pPr>
        <w:spacing w:after="0" w:line="1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 и на период до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:rsidR="00D501D3" w:rsidRPr="00D501D3" w:rsidRDefault="00D501D3" w:rsidP="00D501D3">
      <w:pPr>
        <w:spacing w:after="0" w:line="1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A4" w:rsidRPr="005E1EA4" w:rsidRDefault="005E1EA4" w:rsidP="00426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 - экономического развития Новоселицкого муниципального округа</w:t>
      </w:r>
      <w:r w:rsidR="0042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 и на период до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26151" w:rsidRPr="001501C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42615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26151"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разработан с учетом методических рекомендаций по заполнению формы 2П и порядка разработки показателей прогнозов социально - экономического развития субъектов Российской Федерации.</w:t>
      </w:r>
    </w:p>
    <w:p w:rsidR="005E1EA4" w:rsidRDefault="005E1EA4" w:rsidP="005E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прогноза осуществлялась в двух вариантах -  базовом и консервативном. Базовый вариант описывает наиболее вероятный сценарий развития российской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 Консервативный вариант основан на предпосылке о менее благоприятной санитарно-эпидемиологической ситуации, затяжном восстановлении мировой экономике и структурном замедлении темпов ее роста в среднесрочной перспективе из-за последствий распространения новой коронавирусной инфекции. </w:t>
      </w:r>
      <w:r w:rsidR="00C61D05"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текущем году разработка Прогноза осуществлялась с учетом не только экономических, но и эпидемиологических факторов, в связи с этим сохраняется повышенная неопределенность траектории экономического развития в среднесрочном периоде.</w:t>
      </w:r>
    </w:p>
    <w:p w:rsidR="00C61D05" w:rsidRPr="005E1EA4" w:rsidRDefault="00C61D05" w:rsidP="00C6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Прогноза осуществлялась исходя из приоритетов и задач, определенных указами Президента Российской Федерации от 7 мая 2018 года 3в 204 «О национальных целях и стратегических задачах развития Российской Федерации на период до 2024 года», от 21 июля 2020 года № 474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целях развития Российской Федерации на период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D05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года», Посланием Президента Российской Федерации Федеральному Собранию Российской Федерации от 21 апреля 2021 года</w:t>
      </w:r>
      <w:r w:rsidR="00CE1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EA4" w:rsidRPr="005E1EA4" w:rsidRDefault="005E1EA4" w:rsidP="005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Прогнозируемые показатели на 2022-2024 годы просчитаны с учётом изменения объёмов производства предприятий и организаций, на основании индексов - дефляторов по видам экономической деятельности и индексов цен производителей, утверждённых Минэкономразвития России на период до 2024 года.</w:t>
      </w:r>
    </w:p>
    <w:p w:rsidR="005E1EA4" w:rsidRPr="005E1EA4" w:rsidRDefault="005E1EA4" w:rsidP="005E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Анализ Прогноза показывает умеренные темпы роста в реальном секторе экономики и повышение уровня жизни населения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Новоселицкого округа.</w:t>
      </w:r>
    </w:p>
    <w:p w:rsidR="005E1EA4" w:rsidRPr="005E1EA4" w:rsidRDefault="005E1EA4" w:rsidP="005E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  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Ведущее место в экономике Новоселицкого округа занимает агропромышленный комплекс. Сельскохозяйственной деятельностью в районе 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занимаются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18 сельскохозяйственных предприятий и 142 крестьянских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(фермерских) хозяйств.</w:t>
      </w:r>
    </w:p>
    <w:p w:rsidR="005E1EA4" w:rsidRPr="005E1EA4" w:rsidRDefault="005E1EA4" w:rsidP="005E1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году производство продукции сельского хозяйства во всех категориях хозяйств Новоселицкого района прогнозируется на сумму </w:t>
      </w:r>
      <w:r w:rsidR="00BF1E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val="az-Cyrl-AZ" w:eastAsia="ru-RU"/>
        </w:rPr>
        <w:t>4316,12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 При этом производство продукции растениеводства прогнозируется на сумму </w:t>
      </w:r>
      <w:r w:rsidR="00BF1E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3486,82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производство продукции животноводства района прогнозируется на сумму </w:t>
      </w:r>
      <w:r w:rsidR="00BF1E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829,3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рост индекса производства продукции растениеводства Новоселицкого района и продукции животноводства по отношению к текущему году ожидается в пределах 10</w:t>
      </w:r>
      <w:r w:rsidR="00BF1E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1,1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-104,3 процентов соответственно.</w:t>
      </w:r>
    </w:p>
    <w:p w:rsidR="005E1EA4" w:rsidRPr="005E1EA4" w:rsidRDefault="005E1EA4" w:rsidP="005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производства важнейших видов сельскохозяйственных культур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разработан с учетом сложившейся динамики объемов и структуры производства по категориям хозяйств, погодных условий, а также имеющихся в пользовании земельных угодий.</w:t>
      </w:r>
    </w:p>
    <w:p w:rsidR="005E1EA4" w:rsidRPr="005E1EA4" w:rsidRDefault="005E1EA4" w:rsidP="005E1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прогнозу,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валовое производство зерна (в весе после доработки) стабилизируется и составит </w:t>
      </w:r>
      <w:r w:rsidR="00BF1EC1">
        <w:rPr>
          <w:rFonts w:ascii="Times New Roman" w:eastAsia="Times New Roman" w:hAnsi="Times New Roman" w:cs="Times New Roman"/>
          <w:sz w:val="28"/>
          <w:szCs w:val="28"/>
          <w:lang w:eastAsia="ru-RU"/>
        </w:rPr>
        <w:t>235,4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тонн при базовом </w:t>
      </w:r>
      <w:r w:rsidR="00553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варианте.</w:t>
      </w:r>
    </w:p>
    <w:p w:rsidR="005E1EA4" w:rsidRPr="005E1EA4" w:rsidRDefault="005E1EA4" w:rsidP="005E1E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Промышленность Новоселицко</w:t>
      </w:r>
      <w:r w:rsidR="005534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 округа представлена сектором</w:t>
      </w: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обрабатывающим производством сельскохозяйственных предприятий.</w:t>
      </w:r>
    </w:p>
    <w:p w:rsidR="005E1EA4" w:rsidRPr="005E1EA4" w:rsidRDefault="005E1EA4" w:rsidP="005E1EA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Пищевая и перерабатывающая промышленность в Новоселицком округе представлена цехами сельхозпредприятий агропромышленного комплекса. </w:t>
      </w:r>
    </w:p>
    <w:p w:rsidR="005E1EA4" w:rsidRPr="005E1EA4" w:rsidRDefault="005E1EA4" w:rsidP="005E1EA4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округе имеется достаточная сырьевая база в сельском хозяйстве. Но на сегодняшний день отсутствуют предприятия по переработке </w:t>
      </w:r>
      <w:r w:rsidRPr="005E1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животноводческой продукции,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молока, овощей и фруктов, а м</w:t>
      </w:r>
      <w:r w:rsidRPr="005E1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ощности по переработке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зерна</w:t>
      </w:r>
      <w:r w:rsidRPr="005E1E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отвечают потребностям </w:t>
      </w:r>
      <w:r w:rsidRPr="005E1E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производителей. В результате, снижение доходов сельхозпроизводителей, в связи с реализацией продукции в виде сырья.</w:t>
      </w:r>
    </w:p>
    <w:p w:rsidR="005E1EA4" w:rsidRPr="005E1EA4" w:rsidRDefault="005E1EA4" w:rsidP="005E1EA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Перспективы развития промышленного производства в среднесрочной перспективе будут определяться не только параметрами увеличения сырьевых производств, обновлением производственных мощностей, но и освоением новых технологий выпуска продукции. </w:t>
      </w:r>
    </w:p>
    <w:p w:rsidR="005E1EA4" w:rsidRPr="005E1EA4" w:rsidRDefault="005E1EA4" w:rsidP="005E1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24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2021 годом за счет увеличения динамики физического товарооборота ожидается рост оборота розничной торговли в сопоставимых ценах на уровне не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ниже 104 процентов, оборот розничной торговли в сопоставимых ценах оценочно составит 398,5 млн. рублей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5E1EA4" w:rsidRPr="005E1EA4" w:rsidRDefault="005E1EA4" w:rsidP="005E1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 20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az-Cyrl-AZ" w:eastAsia="ru-RU"/>
        </w:rPr>
        <w:t>24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году в сравнении с 2021 годом за счет обязательных к оплате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видов услуг, жилищно-коммунальных услуг и услуг связи, прогнозируется динамика увеличения объема платных услуг населению в сопоставимых ценах не менее 104,1 процента, объем платных услуг населению в сопоставимых ценах оценочно составит </w:t>
      </w:r>
      <w:r w:rsidR="0055346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535,1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1EA4" w:rsidRPr="005E1EA4" w:rsidRDefault="005E1EA4" w:rsidP="005E1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прогнозу </w:t>
      </w:r>
      <w:r w:rsidRPr="005E1E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объем платных услуг будет расти как за счёт увеличения предоставляемых услуг, так и за счёт роста цен.  Н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аибольший удельный вес в структуре платных услуг занимают жилищно-коммунальные услуги, на долю которых приходится более 60 процентов. </w:t>
      </w:r>
    </w:p>
    <w:p w:rsidR="005E1EA4" w:rsidRPr="005E1EA4" w:rsidRDefault="005E1EA4" w:rsidP="005E1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состоянию на 01 января 2021 года </w:t>
      </w:r>
      <w:r w:rsidR="006345AC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малых и средних предприятий, включая микро предприятия составило 175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единиц, из них </w:t>
      </w:r>
      <w:r w:rsidR="006345AC">
        <w:rPr>
          <w:rFonts w:ascii="Times New Roman" w:eastAsia="Calibri" w:hAnsi="Times New Roman" w:cs="Times New Roman"/>
          <w:sz w:val="28"/>
          <w:szCs w:val="28"/>
          <w:lang w:eastAsia="ru-RU"/>
        </w:rPr>
        <w:t>107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4F91">
        <w:rPr>
          <w:rFonts w:ascii="Times New Roman" w:eastAsia="Calibri" w:hAnsi="Times New Roman" w:cs="Times New Roman"/>
          <w:sz w:val="28"/>
          <w:szCs w:val="28"/>
          <w:lang w:eastAsia="ru-RU"/>
        </w:rPr>
        <w:t>некоммерческих организаций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4F9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малых </w:t>
      </w:r>
      <w:r w:rsidR="00744F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средних 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предприятий (с учетом </w:t>
      </w:r>
      <w:proofErr w:type="spellStart"/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микропредприятий</w:t>
      </w:r>
      <w:proofErr w:type="spellEnd"/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744F91">
        <w:rPr>
          <w:rFonts w:ascii="Times New Roman" w:eastAsia="Calibri" w:hAnsi="Times New Roman" w:cs="Times New Roman"/>
          <w:sz w:val="28"/>
          <w:szCs w:val="28"/>
          <w:lang w:eastAsia="ru-RU"/>
        </w:rPr>
        <w:t>, включенных в ЕРСМП</w:t>
      </w:r>
      <w:r w:rsidRPr="005E1E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развития субъектов малого предпринимательства округа на период до 2024 года разработан с учетом их дальнейшего роста. Согласно, прогнозу к 2024 году количество малых и средних предприятий увеличится в среднем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44F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Сохраняется и инвестиционная активность в округе. Объемы инвестиций в сектор агропромышленного производства преобладают над инвестициями в социальную сферу, промышленное производство и др.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период до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2024 года прогнозируется увеличение объема инвестиций в основной капитал до </w:t>
      </w:r>
      <w:r w:rsidR="002E07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2527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млн. рублей, темп роста составит в среднем на 10</w:t>
      </w:r>
      <w:r w:rsidR="002E07BF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%.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инвесторами нашего округа являются сельскохозяйственные предприятия и предприниматели.</w:t>
      </w:r>
    </w:p>
    <w:p w:rsidR="005E1EA4" w:rsidRPr="005E1EA4" w:rsidRDefault="005E1EA4" w:rsidP="005E1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планомерного привлечения инвестиций и инвесторов на территорию Новоселицкого округа администрацией разработан </w:t>
      </w:r>
      <w:r w:rsidRPr="005E1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 деятельности органов местного самоуправления по обеспечению благоприятного инвестиционного климата в Новоселицком муниципальном округе Ставропольского края.</w:t>
      </w:r>
    </w:p>
    <w:p w:rsidR="00543E38" w:rsidRPr="00543E38" w:rsidRDefault="00543E38" w:rsidP="0054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по предварительной оценке, на 01 июня 2021 года составила </w:t>
      </w:r>
      <w:r w:rsidR="00EF4948" w:rsidRPr="00EF4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26054</w:t>
      </w:r>
      <w:r w:rsidR="00EF4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человек</w:t>
      </w:r>
      <w:r w:rsidR="00EF4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За январь — май 2021 года отмечается естественная убыль населения </w:t>
      </w:r>
      <w:r w:rsidR="00EF49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количестве </w:t>
      </w:r>
      <w:r w:rsidR="008B57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47 человек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в январе — мае 2020 года естественная убыль населения </w:t>
      </w:r>
      <w:r w:rsidR="008B57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580CB1"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составляла 35</w:t>
      </w:r>
      <w:r w:rsidR="008B57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человек.</w:t>
      </w:r>
    </w:p>
    <w:p w:rsidR="005E1EA4" w:rsidRDefault="00543E38" w:rsidP="0054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Среднегодовая численность населения </w:t>
      </w:r>
      <w:r w:rsidR="008B572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 базовому варианту Прогноза к 2024 году уменьшится по сравнению с 2020 годом на </w:t>
      </w:r>
      <w:r w:rsid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2,2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процента и составит </w:t>
      </w:r>
      <w:r w:rsid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25,8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тыс. человек. Сокращение численности населения </w:t>
      </w:r>
      <w:r w:rsid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Новоселицкого муниципального округа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является результатом роста естественной убыли и миграционного отто</w:t>
      </w:r>
      <w:r w:rsid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ка населения</w:t>
      </w:r>
      <w:r w:rsidRPr="00543E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  <w:r w:rsidR="005E1EA4"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580CB1" w:rsidRPr="005E1EA4" w:rsidRDefault="00580CB1" w:rsidP="00543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целом по </w:t>
      </w:r>
      <w:r w:rsidR="001F3A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Новоселицкому муниципальному округу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число умерших за январь — май 2021 года на </w:t>
      </w:r>
      <w:r w:rsidR="000A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32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 w:rsidR="000A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а 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превысило число родившихся, в аналогичном периоде 2020 года число умерших на </w:t>
      </w:r>
      <w:r w:rsidR="000A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11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процент</w:t>
      </w:r>
      <w:r w:rsidR="000A214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ов</w:t>
      </w:r>
      <w:r w:rsidRPr="00580CB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превысило число родившихся.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Вследствие устойчивого развития базовых видов экономической деятельности, таких как сельское хозяйство, промышленное производство, и развитие инфраструктуры, возможно выполнение поставленных стратегических целей социально-экономического развития Новоселицкого округа на долгосрочный период и улучшение экономической ситуации при ежегодной положительной динамике основных целевых показателей Прогноза, что позволит увеличить продолжительность жизни населения района при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рождении до </w:t>
      </w:r>
      <w:r w:rsidR="000A214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74,1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лет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 2024 году.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и неналоговых доходов 82,78% занимают налоговые доходы и 17,22 % – неналоговые доходы.  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EA4">
        <w:rPr>
          <w:rFonts w:ascii="Times New Roman" w:eastAsia="Calibri" w:hAnsi="Times New Roman" w:cs="Times New Roman"/>
          <w:sz w:val="28"/>
          <w:szCs w:val="28"/>
        </w:rPr>
        <w:t>Основным источником поступления налоговых доходов бюджета Новоселицкого муниципального района являются налог на доходы физических лиц и единый сельскохозяйственный налог.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неналоговых доходов являются доходы от оказания платных услуг и доходы от использования имущества, находящегося в муниципальной собственности.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прогнозной оценке, консолидированный бюджет Новоселицкого округа в 2024 году планируется в </w:t>
      </w:r>
      <w:r w:rsidRPr="0048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81AA9" w:rsidRPr="00481AA9">
        <w:rPr>
          <w:rFonts w:ascii="Times New Roman" w:eastAsia="Times New Roman" w:hAnsi="Times New Roman" w:cs="Times New Roman"/>
          <w:sz w:val="28"/>
          <w:szCs w:val="28"/>
          <w:lang w:eastAsia="ru-RU"/>
        </w:rPr>
        <w:t>988,36</w:t>
      </w:r>
      <w:r w:rsidRPr="0048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5E1EA4" w:rsidRPr="005E1EA4" w:rsidRDefault="005E1EA4" w:rsidP="005E1EA4">
      <w:pPr>
        <w:spacing w:after="0" w:line="244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последних лет консолидированный бюджет Новоселицкого округа носит социальную направленность: на отрасли социально-культурной сферы приходится более 70% общих расходов.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консолидированного бюджета Новоселицкого округа на плановый период 2022-2024 годы осуществляется по муниципальным программам и их основным мероприятиям, что создает условия распределения расходов на приоритетные направления с учетом эффективности реализации программ.</w:t>
      </w:r>
    </w:p>
    <w:p w:rsidR="005E1EA4" w:rsidRPr="005E1EA4" w:rsidRDefault="005E1EA4" w:rsidP="005E1E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2024 году ожидается увеличение среднемесячной номинальной начисленной заработной платы одного работника в целом по экономике Новоселицкого округе и 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составит </w:t>
      </w:r>
      <w:r w:rsidR="006477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34648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рублей, с темпом роста </w:t>
      </w:r>
      <w:r w:rsidR="006477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107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%, при увеличении средней численности работников организаций до 4,</w:t>
      </w:r>
      <w:r w:rsidR="006477F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</w:t>
      </w:r>
      <w:r w:rsidRPr="005E1EA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тыс. человек</w:t>
      </w:r>
      <w:r w:rsidRPr="005E1E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труда — важная часть экономики округа, поскольку его состояние в значительной степени определяет темпы экономического роста округа. 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рынок труда испытывает на себе одновременно влияние и социальной, и экономической политики муниципального округа.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безработицы в округе на период 2022 - 2024 годы имеет небольшую тенденцию к уменьшению и в 2024 году составит 1 %.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рынке труда остается стабильной, за исключением отчетного и текущего года, количество безработных по прогнозу в 2024 году составит </w:t>
      </w:r>
      <w:r w:rsidR="00C6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170 </w:t>
      </w: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численности трудовых ресурсов рассчитывался с учетом демографического фактора, а также сложившихся тенденций в округе формирования и использования трудовых ресурсов.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развитию рынка труда в округе предусматривают комплекс мер по содействию занятости населения округа, включающие в себя поддержку существующих производств и создание новых производств за счет развития инвестиционной активности, снижению напряженности на рынке труда за счет развития </w:t>
      </w:r>
      <w:proofErr w:type="spellStart"/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и снижения неформальной занятости.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вопросов по неформальной занятости населения при администрации Новоселицкого муниципального округа действуют 2 рабочие группы:</w:t>
      </w:r>
    </w:p>
    <w:p w:rsidR="005E1EA4" w:rsidRPr="005E1EA4" w:rsidRDefault="005E1EA4" w:rsidP="005E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снижению неформальной занятости, легализации «серой» заработной платы;</w:t>
      </w:r>
    </w:p>
    <w:p w:rsidR="005E1EA4" w:rsidRPr="005E1EA4" w:rsidRDefault="005E1EA4" w:rsidP="005E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рабочая группа по выявлению и пресечению нелегального осуществления </w:t>
      </w:r>
    </w:p>
    <w:p w:rsidR="005E1EA4" w:rsidRPr="005E1EA4" w:rsidRDefault="005E1EA4" w:rsidP="005E1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 организаций и физических лиц на территории Новоселицкого муниципального округа.</w:t>
      </w:r>
    </w:p>
    <w:p w:rsidR="005E1EA4" w:rsidRPr="005E1EA4" w:rsidRDefault="005E1EA4" w:rsidP="005E1E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мероприятий, предусмотренных региональной программой «Развитие сферы труда и занятости населения» проводится работа по трудоустройству инвалидов. Ежеквартально проводятся ярмарки вакансий для безработных граждан.</w:t>
      </w:r>
    </w:p>
    <w:p w:rsidR="005E1EA4" w:rsidRPr="005E1EA4" w:rsidRDefault="005E1EA4" w:rsidP="005E1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в развитии Новоселицкого муниципального округа состоит в обеспечении устойчивого экономического и социального развития, увеличения благосостояния жителей нашего округа, привлечение в округ дополнительных средств финансирования, путем дальнейшей реализации национальных проектов, государственных и муниципальных программ по направлениям отраслей.  </w:t>
      </w:r>
    </w:p>
    <w:p w:rsidR="005E1EA4" w:rsidRPr="005E1EA4" w:rsidRDefault="005E1EA4" w:rsidP="005E1E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8D6" w:rsidRDefault="003A48D6" w:rsidP="00D501D3">
      <w:pPr>
        <w:spacing w:after="0" w:line="240" w:lineRule="auto"/>
        <w:jc w:val="right"/>
      </w:pPr>
    </w:p>
    <w:sectPr w:rsidR="003A48D6" w:rsidSect="00D501D3">
      <w:pgSz w:w="11906" w:h="16838"/>
      <w:pgMar w:top="395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2F" w:rsidRDefault="0030532F" w:rsidP="00B44E50">
      <w:pPr>
        <w:spacing w:after="0" w:line="240" w:lineRule="auto"/>
      </w:pPr>
      <w:r>
        <w:separator/>
      </w:r>
    </w:p>
  </w:endnote>
  <w:endnote w:type="continuationSeparator" w:id="0">
    <w:p w:rsidR="0030532F" w:rsidRDefault="0030532F" w:rsidP="00B4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2F" w:rsidRDefault="0030532F" w:rsidP="00B44E50">
      <w:pPr>
        <w:spacing w:after="0" w:line="240" w:lineRule="auto"/>
      </w:pPr>
      <w:r>
        <w:separator/>
      </w:r>
    </w:p>
  </w:footnote>
  <w:footnote w:type="continuationSeparator" w:id="0">
    <w:p w:rsidR="0030532F" w:rsidRDefault="0030532F" w:rsidP="00B44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ED" w:rsidRDefault="002056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50"/>
    <w:rsid w:val="00024E00"/>
    <w:rsid w:val="00054EAF"/>
    <w:rsid w:val="00097E95"/>
    <w:rsid w:val="000A214D"/>
    <w:rsid w:val="000C7CDB"/>
    <w:rsid w:val="000F21B3"/>
    <w:rsid w:val="001501C7"/>
    <w:rsid w:val="00154C05"/>
    <w:rsid w:val="001B4E6D"/>
    <w:rsid w:val="001F3AAB"/>
    <w:rsid w:val="002056ED"/>
    <w:rsid w:val="002545E0"/>
    <w:rsid w:val="002965C5"/>
    <w:rsid w:val="002E07BF"/>
    <w:rsid w:val="0030532F"/>
    <w:rsid w:val="0034777F"/>
    <w:rsid w:val="00376A34"/>
    <w:rsid w:val="003A48D6"/>
    <w:rsid w:val="003E2713"/>
    <w:rsid w:val="003F2F3C"/>
    <w:rsid w:val="00426151"/>
    <w:rsid w:val="004768E2"/>
    <w:rsid w:val="00481AA9"/>
    <w:rsid w:val="004843E1"/>
    <w:rsid w:val="004F38E9"/>
    <w:rsid w:val="00543E38"/>
    <w:rsid w:val="0055346D"/>
    <w:rsid w:val="00580CB1"/>
    <w:rsid w:val="00583C15"/>
    <w:rsid w:val="00584ECA"/>
    <w:rsid w:val="005D0DAF"/>
    <w:rsid w:val="005D5246"/>
    <w:rsid w:val="005E1EA4"/>
    <w:rsid w:val="005F65ED"/>
    <w:rsid w:val="006345AC"/>
    <w:rsid w:val="0064126F"/>
    <w:rsid w:val="006477F2"/>
    <w:rsid w:val="006A4AA6"/>
    <w:rsid w:val="006B76A0"/>
    <w:rsid w:val="006E024C"/>
    <w:rsid w:val="00715B48"/>
    <w:rsid w:val="00744F91"/>
    <w:rsid w:val="00753C7D"/>
    <w:rsid w:val="007B199E"/>
    <w:rsid w:val="007B4215"/>
    <w:rsid w:val="007C25A4"/>
    <w:rsid w:val="007F7D69"/>
    <w:rsid w:val="007F7DD6"/>
    <w:rsid w:val="008B572D"/>
    <w:rsid w:val="009364D0"/>
    <w:rsid w:val="00960142"/>
    <w:rsid w:val="00992008"/>
    <w:rsid w:val="009B12D7"/>
    <w:rsid w:val="009B354F"/>
    <w:rsid w:val="00A0639F"/>
    <w:rsid w:val="00A32EDA"/>
    <w:rsid w:val="00A51E1A"/>
    <w:rsid w:val="00A72904"/>
    <w:rsid w:val="00A852D1"/>
    <w:rsid w:val="00A979E3"/>
    <w:rsid w:val="00AA5EBD"/>
    <w:rsid w:val="00B3570C"/>
    <w:rsid w:val="00B35E52"/>
    <w:rsid w:val="00B44E50"/>
    <w:rsid w:val="00B543B0"/>
    <w:rsid w:val="00B83E15"/>
    <w:rsid w:val="00BF1EC1"/>
    <w:rsid w:val="00BF4205"/>
    <w:rsid w:val="00C172CD"/>
    <w:rsid w:val="00C2098E"/>
    <w:rsid w:val="00C3004B"/>
    <w:rsid w:val="00C375B8"/>
    <w:rsid w:val="00C61D05"/>
    <w:rsid w:val="00C61EF2"/>
    <w:rsid w:val="00C856F4"/>
    <w:rsid w:val="00CE1154"/>
    <w:rsid w:val="00CF2BB1"/>
    <w:rsid w:val="00D24D81"/>
    <w:rsid w:val="00D501D3"/>
    <w:rsid w:val="00EA5FAD"/>
    <w:rsid w:val="00EF4948"/>
    <w:rsid w:val="00F76EE0"/>
    <w:rsid w:val="00F77E3B"/>
    <w:rsid w:val="00F85FC9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A7F8"/>
  <w15:chartTrackingRefBased/>
  <w15:docId w15:val="{C15BC300-73F0-4847-8839-0A95E52B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4E50"/>
    <w:rPr>
      <w:color w:val="800080"/>
      <w:u w:val="single"/>
    </w:rPr>
  </w:style>
  <w:style w:type="paragraph" w:customStyle="1" w:styleId="msonormal0">
    <w:name w:val="msonormal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2">
    <w:name w:val="xl72"/>
    <w:basedOn w:val="a"/>
    <w:rsid w:val="00B4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3">
    <w:name w:val="xl73"/>
    <w:basedOn w:val="a"/>
    <w:rsid w:val="00B44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50"/>
      <w:szCs w:val="50"/>
      <w:lang w:eastAsia="ru-RU"/>
    </w:rPr>
  </w:style>
  <w:style w:type="paragraph" w:customStyle="1" w:styleId="xl74">
    <w:name w:val="xl74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75">
    <w:name w:val="xl7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44E50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B44E5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92">
    <w:name w:val="xl92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44E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B44E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44E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103">
    <w:name w:val="xl103"/>
    <w:basedOn w:val="a"/>
    <w:rsid w:val="00B44E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B44E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44E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B44E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B44E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B4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E50"/>
  </w:style>
  <w:style w:type="paragraph" w:styleId="a8">
    <w:name w:val="footer"/>
    <w:basedOn w:val="a"/>
    <w:link w:val="a9"/>
    <w:uiPriority w:val="99"/>
    <w:unhideWhenUsed/>
    <w:rsid w:val="00B4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E50"/>
  </w:style>
  <w:style w:type="paragraph" w:styleId="aa">
    <w:name w:val="List Paragraph"/>
    <w:basedOn w:val="a"/>
    <w:uiPriority w:val="34"/>
    <w:qFormat/>
    <w:rsid w:val="003A48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3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4D7D-64A4-4550-BCFF-D2684AF1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10</cp:revision>
  <cp:lastPrinted>2021-09-08T06:57:00Z</cp:lastPrinted>
  <dcterms:created xsi:type="dcterms:W3CDTF">2021-10-25T17:48:00Z</dcterms:created>
  <dcterms:modified xsi:type="dcterms:W3CDTF">2021-10-29T12:13:00Z</dcterms:modified>
</cp:coreProperties>
</file>