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B4" w:rsidRDefault="001647B4" w:rsidP="0016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1647B4" w:rsidRDefault="001647B4" w:rsidP="0016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Совета «Об утверждении отчета об исполнении бюджета Новоселицкого муниципального округа Ставропольского края за 202</w:t>
      </w:r>
      <w:r w:rsidR="004142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4C713B" w:rsidRDefault="004C713B" w:rsidP="001647B4">
      <w:pPr>
        <w:jc w:val="center"/>
        <w:rPr>
          <w:b/>
          <w:sz w:val="28"/>
          <w:szCs w:val="28"/>
        </w:rPr>
      </w:pPr>
    </w:p>
    <w:p w:rsidR="0041424D" w:rsidRDefault="0041424D" w:rsidP="0041424D">
      <w:pPr>
        <w:ind w:firstLine="708"/>
        <w:jc w:val="both"/>
        <w:rPr>
          <w:sz w:val="28"/>
          <w:szCs w:val="28"/>
        </w:rPr>
      </w:pPr>
      <w:r w:rsidRPr="004E1296">
        <w:rPr>
          <w:sz w:val="28"/>
          <w:szCs w:val="28"/>
        </w:rPr>
        <w:t>Бюджет Новоселицк</w:t>
      </w:r>
      <w:r>
        <w:rPr>
          <w:sz w:val="28"/>
          <w:szCs w:val="28"/>
        </w:rPr>
        <w:t>ого муниципального округа на 2024</w:t>
      </w:r>
      <w:r w:rsidRPr="004E1296">
        <w:rPr>
          <w:sz w:val="28"/>
          <w:szCs w:val="28"/>
        </w:rPr>
        <w:t xml:space="preserve"> год запланирован сбалансированный. Фактически за </w:t>
      </w:r>
      <w:r>
        <w:rPr>
          <w:sz w:val="28"/>
          <w:szCs w:val="28"/>
        </w:rPr>
        <w:t>2024</w:t>
      </w:r>
      <w:r w:rsidRPr="004E1296">
        <w:rPr>
          <w:sz w:val="28"/>
          <w:szCs w:val="28"/>
        </w:rPr>
        <w:t xml:space="preserve"> год бюджет исполнен </w:t>
      </w:r>
      <w:r w:rsidRPr="00F03EBA">
        <w:rPr>
          <w:sz w:val="28"/>
          <w:szCs w:val="28"/>
        </w:rPr>
        <w:t xml:space="preserve">с </w:t>
      </w:r>
      <w:r w:rsidRPr="007A7799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66 003,81</w:t>
      </w:r>
      <w:r w:rsidRPr="00F03EBA">
        <w:rPr>
          <w:sz w:val="28"/>
          <w:szCs w:val="28"/>
        </w:rPr>
        <w:t>тыс. рублей.</w:t>
      </w:r>
    </w:p>
    <w:p w:rsidR="0041424D" w:rsidRDefault="0041424D" w:rsidP="0041424D">
      <w:pPr>
        <w:ind w:firstLine="708"/>
        <w:jc w:val="both"/>
        <w:rPr>
          <w:b/>
          <w:sz w:val="28"/>
          <w:szCs w:val="28"/>
        </w:rPr>
      </w:pPr>
    </w:p>
    <w:p w:rsidR="0041424D" w:rsidRPr="00923B35" w:rsidRDefault="0041424D" w:rsidP="0041424D">
      <w:pPr>
        <w:ind w:firstLine="708"/>
        <w:jc w:val="center"/>
        <w:rPr>
          <w:b/>
          <w:sz w:val="28"/>
          <w:szCs w:val="28"/>
        </w:rPr>
      </w:pPr>
      <w:r w:rsidRPr="00923B35">
        <w:rPr>
          <w:b/>
          <w:sz w:val="28"/>
          <w:szCs w:val="28"/>
        </w:rPr>
        <w:t>ИСПОЛНЕНИЕ ДОХОДНОЙ ЧАСТИ БЮДЖЕТА</w:t>
      </w:r>
    </w:p>
    <w:p w:rsidR="0041424D" w:rsidRPr="00923B35" w:rsidRDefault="0041424D" w:rsidP="0041424D">
      <w:pPr>
        <w:jc w:val="center"/>
        <w:rPr>
          <w:b/>
        </w:rPr>
      </w:pPr>
    </w:p>
    <w:p w:rsidR="0041424D" w:rsidRPr="008E5EB0" w:rsidRDefault="0041424D" w:rsidP="0041424D">
      <w:pPr>
        <w:jc w:val="both"/>
        <w:rPr>
          <w:sz w:val="28"/>
          <w:szCs w:val="28"/>
        </w:rPr>
      </w:pPr>
      <w:r w:rsidRPr="00923B35">
        <w:rPr>
          <w:b/>
        </w:rPr>
        <w:tab/>
      </w:r>
      <w:r w:rsidRPr="008E5EB0">
        <w:rPr>
          <w:sz w:val="28"/>
          <w:szCs w:val="28"/>
        </w:rPr>
        <w:t xml:space="preserve">Доходная часть бюджета Новоселицкого </w:t>
      </w:r>
      <w:r>
        <w:rPr>
          <w:sz w:val="28"/>
          <w:szCs w:val="28"/>
        </w:rPr>
        <w:t xml:space="preserve">муниципального </w:t>
      </w:r>
      <w:r w:rsidRPr="008E5EB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8E5EB0">
        <w:rPr>
          <w:sz w:val="28"/>
          <w:szCs w:val="28"/>
        </w:rPr>
        <w:t xml:space="preserve"> с учетом безвозмездных перечислений за202</w:t>
      </w:r>
      <w:r>
        <w:rPr>
          <w:sz w:val="28"/>
          <w:szCs w:val="28"/>
        </w:rPr>
        <w:t>4</w:t>
      </w:r>
      <w:r w:rsidRPr="008E5EB0">
        <w:rPr>
          <w:sz w:val="28"/>
          <w:szCs w:val="28"/>
        </w:rPr>
        <w:t xml:space="preserve"> год исполнена в сумме </w:t>
      </w:r>
      <w:r>
        <w:rPr>
          <w:sz w:val="28"/>
          <w:szCs w:val="28"/>
        </w:rPr>
        <w:t>1 404 548,06</w:t>
      </w:r>
      <w:r w:rsidRPr="008E5EB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98,42</w:t>
      </w:r>
      <w:r w:rsidRPr="008E5EB0">
        <w:rPr>
          <w:sz w:val="28"/>
          <w:szCs w:val="28"/>
        </w:rPr>
        <w:t xml:space="preserve">% к кассовому плану в сумме </w:t>
      </w:r>
      <w:r>
        <w:rPr>
          <w:sz w:val="28"/>
          <w:szCs w:val="28"/>
        </w:rPr>
        <w:t>1 427 162,32</w:t>
      </w:r>
      <w:r w:rsidRPr="008E5EB0">
        <w:rPr>
          <w:sz w:val="28"/>
          <w:szCs w:val="28"/>
        </w:rPr>
        <w:t>тыс. рублей</w:t>
      </w:r>
      <w:r w:rsidRPr="004138C4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2023 годом (1 472 881,67тыс. рублей) данный показатель снизился на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,64</w:t>
      </w:r>
      <w:r w:rsidRPr="004138C4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68 333,61</w:t>
      </w:r>
      <w:r w:rsidRPr="004138C4">
        <w:rPr>
          <w:sz w:val="28"/>
          <w:szCs w:val="28"/>
        </w:rPr>
        <w:t xml:space="preserve"> тыс. рублей в</w:t>
      </w:r>
      <w:r>
        <w:rPr>
          <w:sz w:val="28"/>
          <w:szCs w:val="28"/>
        </w:rPr>
        <w:t xml:space="preserve"> абсолютной сумме</w:t>
      </w:r>
      <w:r w:rsidRPr="007C5B64">
        <w:rPr>
          <w:sz w:val="28"/>
          <w:szCs w:val="28"/>
        </w:rPr>
        <w:t>.</w:t>
      </w:r>
    </w:p>
    <w:p w:rsidR="0041424D" w:rsidRPr="00923B35" w:rsidRDefault="0041424D" w:rsidP="0041424D">
      <w:pPr>
        <w:jc w:val="both"/>
        <w:rPr>
          <w:sz w:val="28"/>
          <w:szCs w:val="28"/>
        </w:rPr>
      </w:pPr>
      <w:r w:rsidRPr="008E5EB0">
        <w:rPr>
          <w:sz w:val="28"/>
          <w:szCs w:val="28"/>
        </w:rPr>
        <w:tab/>
        <w:t>Основные параметры бюджета Новоселицкого муниципального округа приведены в таблице.</w:t>
      </w:r>
    </w:p>
    <w:p w:rsidR="0041424D" w:rsidRPr="00923B35" w:rsidRDefault="0041424D" w:rsidP="0041424D">
      <w:pPr>
        <w:jc w:val="both"/>
      </w:pP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  <w:r w:rsidRPr="00923B35">
        <w:tab/>
      </w:r>
    </w:p>
    <w:p w:rsidR="0041424D" w:rsidRDefault="0041424D" w:rsidP="0041424D">
      <w:pPr>
        <w:jc w:val="center"/>
        <w:rPr>
          <w:b/>
        </w:rPr>
      </w:pPr>
      <w:r w:rsidRPr="00923B35">
        <w:rPr>
          <w:b/>
        </w:rPr>
        <w:t xml:space="preserve">Основные параметры бюджета Новоселицкого муниципального </w:t>
      </w:r>
      <w:r>
        <w:rPr>
          <w:b/>
        </w:rPr>
        <w:t>округа</w:t>
      </w:r>
    </w:p>
    <w:p w:rsidR="0041424D" w:rsidRDefault="0041424D" w:rsidP="0041424D">
      <w:pPr>
        <w:jc w:val="center"/>
        <w:rPr>
          <w:b/>
        </w:rPr>
      </w:pPr>
      <w:r w:rsidRPr="00923B35">
        <w:rPr>
          <w:b/>
        </w:rPr>
        <w:t xml:space="preserve"> за 20</w:t>
      </w:r>
      <w:r>
        <w:rPr>
          <w:b/>
        </w:rPr>
        <w:t>24</w:t>
      </w:r>
      <w:r w:rsidRPr="00923B35">
        <w:rPr>
          <w:b/>
        </w:rPr>
        <w:t>год</w:t>
      </w:r>
    </w:p>
    <w:p w:rsidR="0041424D" w:rsidRPr="00923B35" w:rsidRDefault="0041424D" w:rsidP="0041424D">
      <w:pPr>
        <w:jc w:val="right"/>
      </w:pPr>
      <w:r w:rsidRPr="00923B35">
        <w:t>(тыс. руб.)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850"/>
        <w:gridCol w:w="1276"/>
        <w:gridCol w:w="1418"/>
        <w:gridCol w:w="850"/>
        <w:gridCol w:w="1276"/>
      </w:tblGrid>
      <w:tr w:rsidR="0041424D" w:rsidRPr="00226922" w:rsidTr="009308AD">
        <w:trPr>
          <w:trHeight w:val="62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1424D" w:rsidRPr="00130420" w:rsidRDefault="0041424D" w:rsidP="009308AD">
            <w:pPr>
              <w:spacing w:line="200" w:lineRule="exact"/>
              <w:jc w:val="center"/>
              <w:rPr>
                <w:color w:val="000000"/>
                <w:sz w:val="18"/>
                <w:szCs w:val="20"/>
              </w:rPr>
            </w:pPr>
            <w:r w:rsidRPr="00130420">
              <w:rPr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 xml:space="preserve"> 2024 год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6922">
              <w:rPr>
                <w:sz w:val="20"/>
                <w:szCs w:val="20"/>
              </w:rPr>
              <w:t>в абсолютной сумме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1424D" w:rsidRPr="00226922" w:rsidRDefault="0041424D" w:rsidP="009308A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6922">
              <w:rPr>
                <w:sz w:val="20"/>
                <w:szCs w:val="20"/>
              </w:rPr>
              <w:t>факт  2023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>%  исполнения к  2023 год</w:t>
            </w: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424D" w:rsidRPr="00226922" w:rsidRDefault="0041424D" w:rsidP="009308A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26922">
              <w:rPr>
                <w:sz w:val="20"/>
                <w:szCs w:val="20"/>
              </w:rPr>
              <w:t>В абсолютной сумме к 2023г</w:t>
            </w:r>
          </w:p>
        </w:tc>
      </w:tr>
      <w:tr w:rsidR="0041424D" w:rsidRPr="00226922" w:rsidTr="009308AD">
        <w:trPr>
          <w:trHeight w:val="960"/>
        </w:trPr>
        <w:tc>
          <w:tcPr>
            <w:tcW w:w="1560" w:type="dxa"/>
            <w:vMerge/>
            <w:vAlign w:val="center"/>
            <w:hideMark/>
          </w:tcPr>
          <w:p w:rsidR="0041424D" w:rsidRPr="00226922" w:rsidRDefault="0041424D" w:rsidP="00930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>план 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>факт 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424D" w:rsidRPr="00226922" w:rsidRDefault="0041424D" w:rsidP="00930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1424D" w:rsidRPr="00226922" w:rsidRDefault="0041424D" w:rsidP="00930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424D" w:rsidRPr="00226922" w:rsidRDefault="0041424D" w:rsidP="009308A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424D" w:rsidRPr="00226922" w:rsidRDefault="0041424D" w:rsidP="009308A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1424D" w:rsidRPr="00226922" w:rsidTr="009308A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>ВСЕГО   ДОХОДОВ,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1 427 162,32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1 404 548,06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98,42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-22 614,26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1 472 881,67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95,36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-68 333,61</w:t>
            </w:r>
          </w:p>
        </w:tc>
      </w:tr>
      <w:tr w:rsidR="0041424D" w:rsidRPr="00226922" w:rsidTr="009308AD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rPr>
                <w:color w:val="000000"/>
                <w:sz w:val="20"/>
                <w:szCs w:val="20"/>
              </w:rPr>
            </w:pPr>
            <w:r w:rsidRPr="00226922">
              <w:rPr>
                <w:color w:val="000000"/>
                <w:sz w:val="20"/>
                <w:szCs w:val="20"/>
              </w:rPr>
              <w:t>Налоговые и неналоговые доходы, из них: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274 924,02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303 914,56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110,54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28 990,54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259 400,12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117,16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44 514,44</w:t>
            </w:r>
          </w:p>
        </w:tc>
      </w:tr>
      <w:tr w:rsidR="0041424D" w:rsidRPr="00226922" w:rsidTr="009308A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26922">
              <w:rPr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233 417,28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251 434,92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107,72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18 017,64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210 714,93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119,32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40 719,99</w:t>
            </w:r>
          </w:p>
        </w:tc>
      </w:tr>
      <w:tr w:rsidR="0041424D" w:rsidRPr="00226922" w:rsidTr="009308AD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41424D" w:rsidRPr="00226922" w:rsidRDefault="0041424D" w:rsidP="009308A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26922">
              <w:rPr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41 506,74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52 479,64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126,44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10 972,90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48 685,19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107,79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3 794,45</w:t>
            </w:r>
          </w:p>
        </w:tc>
      </w:tr>
      <w:tr w:rsidR="0041424D" w:rsidRPr="00130420" w:rsidTr="009308AD">
        <w:trPr>
          <w:trHeight w:val="699"/>
        </w:trPr>
        <w:tc>
          <w:tcPr>
            <w:tcW w:w="1560" w:type="dxa"/>
            <w:shd w:val="clear" w:color="auto" w:fill="auto"/>
            <w:vAlign w:val="center"/>
            <w:hideMark/>
          </w:tcPr>
          <w:p w:rsidR="0041424D" w:rsidRPr="00130420" w:rsidRDefault="0041424D" w:rsidP="009308AD">
            <w:pPr>
              <w:rPr>
                <w:color w:val="000000"/>
                <w:sz w:val="20"/>
                <w:szCs w:val="20"/>
              </w:rPr>
            </w:pPr>
            <w:r w:rsidRPr="00130420">
              <w:rPr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1 152 238,30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1 100 633,50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95,52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-51 604,80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1 213 481,55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 xml:space="preserve"> 90,70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24D" w:rsidRPr="00394C86" w:rsidRDefault="0041424D" w:rsidP="009308AD">
            <w:pPr>
              <w:jc w:val="right"/>
              <w:rPr>
                <w:sz w:val="20"/>
                <w:szCs w:val="20"/>
              </w:rPr>
            </w:pPr>
            <w:r w:rsidRPr="00394C86">
              <w:rPr>
                <w:sz w:val="20"/>
                <w:szCs w:val="20"/>
              </w:rPr>
              <w:t>-112 848,05</w:t>
            </w:r>
          </w:p>
        </w:tc>
      </w:tr>
    </w:tbl>
    <w:p w:rsidR="0041424D" w:rsidRPr="00130420" w:rsidRDefault="0041424D" w:rsidP="0041424D">
      <w:pPr>
        <w:jc w:val="center"/>
        <w:rPr>
          <w:highlight w:val="yellow"/>
        </w:rPr>
      </w:pPr>
    </w:p>
    <w:p w:rsidR="0041424D" w:rsidRPr="00D62055" w:rsidRDefault="0041424D" w:rsidP="0041424D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D62055">
        <w:rPr>
          <w:sz w:val="28"/>
          <w:szCs w:val="28"/>
        </w:rPr>
        <w:t xml:space="preserve">Исполнение налоговых и неналоговых доходов бюджета округа за отчетный период составило 303 914,56 тыс. рублей, или 110,54% к годовому кассовому плану (274 924,02 тыс. рублей).  </w:t>
      </w:r>
      <w:r>
        <w:rPr>
          <w:sz w:val="28"/>
          <w:szCs w:val="28"/>
        </w:rPr>
        <w:t>По сравнению с 2023 годом наблюдается рост налоговых и неналоговых доходов в сумме 44 514,44 тыс. рублей (259 400,12 тыс. рублей) или на 17,16%.</w:t>
      </w:r>
    </w:p>
    <w:p w:rsidR="0041424D" w:rsidRPr="00D62055" w:rsidRDefault="0041424D" w:rsidP="0041424D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D62055">
        <w:rPr>
          <w:sz w:val="28"/>
          <w:szCs w:val="28"/>
        </w:rPr>
        <w:t>Налоговых доходов за отчетный период поступило 251 434,92 тыс. рублей, или  107,72 % к кассовому плану или перевып</w:t>
      </w:r>
      <w:r>
        <w:rPr>
          <w:sz w:val="28"/>
          <w:szCs w:val="28"/>
        </w:rPr>
        <w:t xml:space="preserve">олнено в абсолютной </w:t>
      </w:r>
      <w:r>
        <w:rPr>
          <w:sz w:val="28"/>
          <w:szCs w:val="28"/>
        </w:rPr>
        <w:lastRenderedPageBreak/>
        <w:t xml:space="preserve">сумме на 18 </w:t>
      </w:r>
      <w:r w:rsidRPr="00D62055">
        <w:rPr>
          <w:sz w:val="28"/>
          <w:szCs w:val="28"/>
        </w:rPr>
        <w:t>017,64 тыс. рублей. По налоговым доходам наблюдается повышение поступлений   по сравнению с 2023 года на 19,32 % или на 40 719,99 тыс. рублей,  в том числе наибольший рост наблюдается:</w:t>
      </w:r>
    </w:p>
    <w:p w:rsidR="0041424D" w:rsidRPr="00D62055" w:rsidRDefault="0041424D" w:rsidP="0041424D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D62055">
        <w:rPr>
          <w:sz w:val="28"/>
          <w:szCs w:val="28"/>
        </w:rPr>
        <w:t>- по налогу на доходы физических лиц (далее – НДФЛ) – на  22 248,60 тыс. рублей, что  связано с увеличением фонда оплаты труда и ростом заработной платы;</w:t>
      </w:r>
    </w:p>
    <w:p w:rsidR="0041424D" w:rsidRPr="00D62055" w:rsidRDefault="0041424D" w:rsidP="0041424D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D62055">
        <w:rPr>
          <w:sz w:val="28"/>
          <w:szCs w:val="28"/>
        </w:rPr>
        <w:t>- по налогам на совокупный доход  - на 10 934,47 тыс. рублей,  что обусловлено  увеличением</w:t>
      </w:r>
      <w:r>
        <w:rPr>
          <w:sz w:val="28"/>
          <w:szCs w:val="28"/>
        </w:rPr>
        <w:t xml:space="preserve"> реализации сельхозпродукции,  оплаты задолженности</w:t>
      </w:r>
      <w:r w:rsidRPr="00D62055">
        <w:rPr>
          <w:sz w:val="28"/>
          <w:szCs w:val="28"/>
        </w:rPr>
        <w:t>;</w:t>
      </w:r>
    </w:p>
    <w:p w:rsidR="0041424D" w:rsidRDefault="0041424D" w:rsidP="0041424D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D62055">
        <w:rPr>
          <w:sz w:val="28"/>
          <w:szCs w:val="28"/>
        </w:rPr>
        <w:t xml:space="preserve"> - по налогам на имущество -   на 5 033,46 тыс. рублей, в  результате работы по сокращению недоимки.</w:t>
      </w:r>
    </w:p>
    <w:p w:rsidR="0041424D" w:rsidRPr="00A87190" w:rsidRDefault="0041424D" w:rsidP="0041424D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FE63C9">
        <w:rPr>
          <w:sz w:val="28"/>
          <w:szCs w:val="28"/>
        </w:rPr>
        <w:t>Неналоговые доходы поступили в бюджет округа  за отчетный  период в объеме 52 479,64 тыс. рублей, или 126,44 % к кассовому плану</w:t>
      </w:r>
      <w:r>
        <w:rPr>
          <w:sz w:val="28"/>
          <w:szCs w:val="28"/>
        </w:rPr>
        <w:t xml:space="preserve"> (41 506,74 тыс. рублей)</w:t>
      </w:r>
      <w:r w:rsidRPr="00FE63C9">
        <w:rPr>
          <w:sz w:val="28"/>
          <w:szCs w:val="28"/>
        </w:rPr>
        <w:t>.  К аналогичному периоду 2023 года наблюдается рост неналоговых поступлений на 7,79 %  или в абсолютной сумме на  3</w:t>
      </w:r>
      <w:r>
        <w:rPr>
          <w:sz w:val="28"/>
          <w:szCs w:val="28"/>
        </w:rPr>
        <w:t xml:space="preserve"> 794,45 тыс. рублей, в основном за счет поступления штрафов,  санкций и возмещения ущерба.</w:t>
      </w:r>
    </w:p>
    <w:p w:rsidR="0041424D" w:rsidRPr="00D37AEE" w:rsidRDefault="0041424D" w:rsidP="0041424D">
      <w:pPr>
        <w:ind w:firstLine="720"/>
        <w:jc w:val="both"/>
        <w:rPr>
          <w:color w:val="000000"/>
          <w:spacing w:val="2"/>
          <w:sz w:val="28"/>
          <w:szCs w:val="28"/>
        </w:rPr>
      </w:pPr>
      <w:r w:rsidRPr="00D37AEE">
        <w:rPr>
          <w:color w:val="000000"/>
          <w:spacing w:val="2"/>
          <w:sz w:val="28"/>
          <w:szCs w:val="28"/>
        </w:rPr>
        <w:t>В ходе исполнения бюджета Новоселицкого муниципального округа получено безвозмездных поступлений  в объеме 1 100 633,50 тыс. рублей или 95,52 % к кассовому плану. Не поступило в отчетном периоде межбюджетных трансфертов в сумме 51 604,80 тыс. рублей. По сравнению с 2023 годом межбюджетных трансфертов поступило меньше на 9,30 %, или на 112 848,05 тыс. рублей в абсолютной сумме.</w:t>
      </w:r>
      <w:r>
        <w:rPr>
          <w:color w:val="000000"/>
          <w:spacing w:val="2"/>
          <w:sz w:val="28"/>
          <w:szCs w:val="28"/>
        </w:rPr>
        <w:t xml:space="preserve"> </w:t>
      </w:r>
      <w:r w:rsidRPr="00042B3B">
        <w:rPr>
          <w:color w:val="000000"/>
          <w:spacing w:val="2"/>
          <w:sz w:val="28"/>
          <w:szCs w:val="28"/>
        </w:rPr>
        <w:t xml:space="preserve">В основном снижение поступлений - на строительство объекта спорта на  64,02 млн. рублей, капитальный ремонт дорог на  32 млн. рублей и по ряду субвенций в области социальной защиты на 30,51 млн. рублей,  в связи с передачей полномочий по их выплате  в Социальный фонд России.  </w:t>
      </w:r>
    </w:p>
    <w:p w:rsidR="0041424D" w:rsidRDefault="0041424D" w:rsidP="0041424D">
      <w:pPr>
        <w:ind w:firstLine="720"/>
        <w:jc w:val="both"/>
        <w:rPr>
          <w:color w:val="000000"/>
          <w:spacing w:val="2"/>
          <w:sz w:val="28"/>
          <w:szCs w:val="28"/>
        </w:rPr>
      </w:pPr>
      <w:proofErr w:type="gramStart"/>
      <w:r w:rsidRPr="00D37AEE">
        <w:rPr>
          <w:color w:val="000000"/>
          <w:spacing w:val="2"/>
          <w:sz w:val="28"/>
          <w:szCs w:val="28"/>
        </w:rPr>
        <w:t>В бюджет округа  поступило дотаций – 301 989,00 тыс. рублей, субсидий – 355 219,16 тыс. рублей, субвенций – 426 971,20 тыс. рублей, иных межбюджетных тран</w:t>
      </w:r>
      <w:r>
        <w:rPr>
          <w:color w:val="000000"/>
          <w:spacing w:val="2"/>
          <w:sz w:val="28"/>
          <w:szCs w:val="28"/>
        </w:rPr>
        <w:t>сфертов – 19 926,62 тыс. рублей, прочих безвозмездных поступлений – 330,00 тыс. рублей.</w:t>
      </w:r>
      <w:bookmarkStart w:id="0" w:name="_GoBack"/>
      <w:bookmarkEnd w:id="0"/>
      <w:proofErr w:type="gramEnd"/>
      <w:r>
        <w:rPr>
          <w:color w:val="000000"/>
          <w:spacing w:val="2"/>
          <w:sz w:val="28"/>
          <w:szCs w:val="28"/>
        </w:rPr>
        <w:t xml:space="preserve"> </w:t>
      </w:r>
      <w:r w:rsidRPr="00D37AEE">
        <w:rPr>
          <w:color w:val="000000"/>
          <w:spacing w:val="2"/>
          <w:sz w:val="28"/>
          <w:szCs w:val="28"/>
        </w:rPr>
        <w:t>Произведен возврат остатков субсидий, субвенций и иных межбюджетных трансфертов прошлых лет  на сумму  3 802,49 тыс. рублей.</w:t>
      </w:r>
    </w:p>
    <w:p w:rsidR="0041424D" w:rsidRDefault="0041424D" w:rsidP="0041424D">
      <w:pPr>
        <w:ind w:firstLine="720"/>
        <w:jc w:val="both"/>
        <w:rPr>
          <w:sz w:val="28"/>
          <w:szCs w:val="28"/>
        </w:rPr>
      </w:pPr>
    </w:p>
    <w:p w:rsidR="0041424D" w:rsidRDefault="0041424D" w:rsidP="0041424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23B35">
        <w:rPr>
          <w:b/>
          <w:sz w:val="28"/>
          <w:szCs w:val="28"/>
        </w:rPr>
        <w:t xml:space="preserve">СПОЛНЕНИЕ </w:t>
      </w:r>
      <w:r>
        <w:rPr>
          <w:b/>
          <w:sz w:val="28"/>
          <w:szCs w:val="28"/>
        </w:rPr>
        <w:t>РАСХОДНОЙ</w:t>
      </w:r>
      <w:r w:rsidRPr="00923B35">
        <w:rPr>
          <w:b/>
          <w:sz w:val="28"/>
          <w:szCs w:val="28"/>
        </w:rPr>
        <w:t xml:space="preserve"> ЧАСТИ БЮДЖЕТА</w:t>
      </w:r>
    </w:p>
    <w:p w:rsidR="0041424D" w:rsidRPr="00826D99" w:rsidRDefault="0041424D" w:rsidP="004142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60BD">
        <w:rPr>
          <w:sz w:val="28"/>
          <w:szCs w:val="28"/>
        </w:rPr>
        <w:t xml:space="preserve">огласно решению о бюджете </w:t>
      </w:r>
      <w:r>
        <w:rPr>
          <w:sz w:val="28"/>
          <w:szCs w:val="28"/>
        </w:rPr>
        <w:t>на 2024 год р</w:t>
      </w:r>
      <w:r w:rsidRPr="006360BD">
        <w:rPr>
          <w:sz w:val="28"/>
          <w:szCs w:val="28"/>
        </w:rPr>
        <w:t xml:space="preserve">асходы местного бюджета утверждены в сумме </w:t>
      </w:r>
      <w:r>
        <w:rPr>
          <w:sz w:val="28"/>
          <w:szCs w:val="28"/>
        </w:rPr>
        <w:t>1 066 811,63</w:t>
      </w:r>
      <w:r w:rsidRPr="006360B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В течение 2024 года объем расходов увеличился на 474 579,68 тыс. </w:t>
      </w:r>
      <w:r w:rsidRPr="00826D9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44,49% от первоначально утвержденного плана и составил 1 541 391,31 </w:t>
      </w:r>
      <w:r w:rsidRPr="00A178A6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Pr="00826D99">
        <w:rPr>
          <w:sz w:val="28"/>
          <w:szCs w:val="28"/>
        </w:rPr>
        <w:t xml:space="preserve"> Основными причинами внесения изменений в бюджет округа по расходам послужили суммы направленных остатков местных  средств, сложивши</w:t>
      </w:r>
      <w:r>
        <w:rPr>
          <w:sz w:val="28"/>
          <w:szCs w:val="28"/>
        </w:rPr>
        <w:t>еся по состоянию на 01.01.2024</w:t>
      </w:r>
      <w:r w:rsidRPr="00826D99">
        <w:rPr>
          <w:sz w:val="28"/>
          <w:szCs w:val="28"/>
        </w:rPr>
        <w:t xml:space="preserve"> года и дополнительно поступившие безвозмездные поступления из бюджета Ставропольского края.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826D99">
        <w:rPr>
          <w:sz w:val="28"/>
          <w:szCs w:val="28"/>
        </w:rPr>
        <w:t>Кассовое  исполнение  по  расходам  местного бюджета</w:t>
      </w:r>
      <w:r>
        <w:rPr>
          <w:sz w:val="28"/>
          <w:szCs w:val="28"/>
        </w:rPr>
        <w:t xml:space="preserve"> на 01.01.2025г. </w:t>
      </w:r>
      <w:r w:rsidRPr="00826D99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1 470 551,87</w:t>
      </w:r>
      <w:r w:rsidRPr="00826D9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(95,41</w:t>
      </w:r>
      <w:r w:rsidRPr="00826D99">
        <w:rPr>
          <w:sz w:val="28"/>
          <w:szCs w:val="28"/>
        </w:rPr>
        <w:t xml:space="preserve">% к годовым плановым </w:t>
      </w:r>
      <w:r w:rsidRPr="00826D99">
        <w:rPr>
          <w:sz w:val="28"/>
          <w:szCs w:val="28"/>
        </w:rPr>
        <w:lastRenderedPageBreak/>
        <w:t>назначениям</w:t>
      </w:r>
      <w:r w:rsidRPr="00C840BE">
        <w:rPr>
          <w:sz w:val="28"/>
          <w:szCs w:val="28"/>
        </w:rPr>
        <w:t xml:space="preserve">). По сравнению с аналогичным периодом 2023 года  данный показатель </w:t>
      </w:r>
      <w:r>
        <w:rPr>
          <w:sz w:val="28"/>
          <w:szCs w:val="28"/>
        </w:rPr>
        <w:t>увеличился</w:t>
      </w:r>
      <w:r w:rsidRPr="00C840BE">
        <w:rPr>
          <w:sz w:val="28"/>
          <w:szCs w:val="28"/>
        </w:rPr>
        <w:t xml:space="preserve"> на </w:t>
      </w:r>
      <w:r>
        <w:rPr>
          <w:sz w:val="28"/>
          <w:szCs w:val="28"/>
        </w:rPr>
        <w:t>3,91</w:t>
      </w:r>
      <w:r w:rsidRPr="00C840BE">
        <w:rPr>
          <w:sz w:val="28"/>
          <w:szCs w:val="28"/>
        </w:rPr>
        <w:t>%.</w:t>
      </w:r>
    </w:p>
    <w:p w:rsidR="0041424D" w:rsidRDefault="0041424D" w:rsidP="0041424D">
      <w:pPr>
        <w:spacing w:line="240" w:lineRule="exact"/>
        <w:jc w:val="center"/>
        <w:rPr>
          <w:sz w:val="28"/>
          <w:szCs w:val="28"/>
        </w:rPr>
      </w:pPr>
    </w:p>
    <w:p w:rsidR="0041424D" w:rsidRPr="006360BD" w:rsidRDefault="0041424D" w:rsidP="0041424D">
      <w:pPr>
        <w:spacing w:line="240" w:lineRule="exact"/>
        <w:jc w:val="center"/>
        <w:rPr>
          <w:sz w:val="28"/>
          <w:szCs w:val="28"/>
        </w:rPr>
      </w:pPr>
      <w:r w:rsidRPr="006360BD">
        <w:rPr>
          <w:sz w:val="28"/>
          <w:szCs w:val="28"/>
        </w:rPr>
        <w:t>РАСХОДЫ</w:t>
      </w:r>
    </w:p>
    <w:p w:rsidR="0041424D" w:rsidRDefault="0041424D" w:rsidP="0041424D">
      <w:pPr>
        <w:spacing w:line="240" w:lineRule="exact"/>
        <w:ind w:firstLine="709"/>
        <w:jc w:val="center"/>
        <w:rPr>
          <w:sz w:val="28"/>
          <w:szCs w:val="28"/>
        </w:rPr>
      </w:pPr>
      <w:r w:rsidRPr="006360BD">
        <w:rPr>
          <w:sz w:val="28"/>
          <w:szCs w:val="28"/>
        </w:rPr>
        <w:t xml:space="preserve">местного бюджета по </w:t>
      </w:r>
      <w:r>
        <w:rPr>
          <w:sz w:val="28"/>
          <w:szCs w:val="28"/>
        </w:rPr>
        <w:t>разделам функциональной классификации</w:t>
      </w:r>
      <w:r w:rsidRPr="006360BD">
        <w:rPr>
          <w:sz w:val="28"/>
          <w:szCs w:val="28"/>
        </w:rPr>
        <w:t xml:space="preserve"> Новоселицкого муниципального округа Ставропольского края</w:t>
      </w:r>
    </w:p>
    <w:p w:rsidR="0041424D" w:rsidRPr="00805EED" w:rsidRDefault="0041424D" w:rsidP="0041424D">
      <w:pPr>
        <w:jc w:val="right"/>
      </w:pPr>
      <w:r w:rsidRPr="00805EED"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552"/>
        <w:gridCol w:w="1417"/>
        <w:gridCol w:w="1418"/>
        <w:gridCol w:w="1417"/>
        <w:gridCol w:w="851"/>
        <w:gridCol w:w="1275"/>
      </w:tblGrid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41424D" w:rsidRPr="00805EED" w:rsidRDefault="0041424D" w:rsidP="009308AD">
            <w:pPr>
              <w:spacing w:line="200" w:lineRule="exact"/>
              <w:jc w:val="center"/>
            </w:pPr>
            <w:proofErr w:type="spellStart"/>
            <w:r w:rsidRPr="00805EED">
              <w:rPr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424D" w:rsidRPr="00805EED" w:rsidRDefault="0041424D" w:rsidP="009308AD">
            <w:pPr>
              <w:spacing w:line="200" w:lineRule="exact"/>
              <w:jc w:val="center"/>
            </w:pPr>
            <w:r>
              <w:rPr>
                <w:bCs/>
                <w:sz w:val="22"/>
                <w:szCs w:val="22"/>
              </w:rPr>
              <w:t>Н</w:t>
            </w:r>
            <w:r w:rsidRPr="00805EED">
              <w:rPr>
                <w:bCs/>
                <w:sz w:val="22"/>
                <w:szCs w:val="22"/>
              </w:rPr>
              <w:t>аименование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05EED">
              <w:rPr>
                <w:bCs/>
                <w:sz w:val="22"/>
                <w:szCs w:val="22"/>
              </w:rPr>
              <w:t>раздела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424D" w:rsidRPr="00805EED" w:rsidRDefault="0041424D" w:rsidP="009308AD">
            <w:pPr>
              <w:spacing w:line="200" w:lineRule="exact"/>
              <w:jc w:val="center"/>
            </w:pPr>
            <w:r w:rsidRPr="00805EED">
              <w:rPr>
                <w:rFonts w:eastAsia="Calibri"/>
                <w:color w:val="000000"/>
                <w:sz w:val="22"/>
                <w:szCs w:val="22"/>
              </w:rPr>
              <w:t>Утверждено решением о бюджете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424D" w:rsidRPr="00805EED" w:rsidRDefault="0041424D" w:rsidP="009308AD">
            <w:pPr>
              <w:spacing w:line="200" w:lineRule="exact"/>
              <w:jc w:val="center"/>
            </w:pPr>
            <w:r w:rsidRPr="00805EED">
              <w:rPr>
                <w:rFonts w:eastAsia="Calibri"/>
                <w:color w:val="000000"/>
                <w:sz w:val="22"/>
                <w:szCs w:val="22"/>
              </w:rPr>
              <w:t>Утверждено решением о бюджете с учетом изменений</w:t>
            </w:r>
          </w:p>
        </w:tc>
        <w:tc>
          <w:tcPr>
            <w:tcW w:w="1417" w:type="dxa"/>
            <w:vAlign w:val="center"/>
          </w:tcPr>
          <w:p w:rsidR="0041424D" w:rsidRDefault="0041424D" w:rsidP="009308AD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</w:p>
          <w:p w:rsidR="0041424D" w:rsidRPr="00805EED" w:rsidRDefault="0041424D" w:rsidP="009308AD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  <w:r w:rsidRPr="007C57DB">
              <w:rPr>
                <w:rFonts w:eastAsia="Calibri"/>
                <w:color w:val="000000"/>
              </w:rPr>
              <w:t xml:space="preserve">Исполнено за </w:t>
            </w:r>
            <w:r>
              <w:rPr>
                <w:rFonts w:eastAsia="Calibri"/>
                <w:color w:val="000000"/>
              </w:rPr>
              <w:t xml:space="preserve">          2024 год</w:t>
            </w:r>
          </w:p>
        </w:tc>
        <w:tc>
          <w:tcPr>
            <w:tcW w:w="851" w:type="dxa"/>
            <w:vAlign w:val="center"/>
          </w:tcPr>
          <w:p w:rsidR="0041424D" w:rsidRDefault="0041424D" w:rsidP="009308AD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</w:p>
          <w:p w:rsidR="0041424D" w:rsidRDefault="0041424D" w:rsidP="009308AD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  <w:r w:rsidRPr="00805EED">
              <w:rPr>
                <w:rFonts w:eastAsia="Calibri"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1275" w:type="dxa"/>
            <w:vAlign w:val="center"/>
          </w:tcPr>
          <w:p w:rsidR="0041424D" w:rsidRDefault="0041424D" w:rsidP="009308AD">
            <w:pPr>
              <w:spacing w:line="20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Удельный вес в общем объеме расходов</w:t>
            </w:r>
          </w:p>
        </w:tc>
      </w:tr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center"/>
            </w:pPr>
            <w:r w:rsidRPr="00805EED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center"/>
            </w:pPr>
            <w:r w:rsidRPr="00805EE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1424D" w:rsidRPr="00805EED" w:rsidRDefault="0041424D" w:rsidP="009308A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1424D" w:rsidRDefault="0041424D" w:rsidP="009308A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1424D" w:rsidRDefault="0041424D" w:rsidP="009308A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41424D" w:rsidRPr="00805EED" w:rsidTr="009308AD">
        <w:trPr>
          <w:trHeight w:val="450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200 021,66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184 664,29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182 606,25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98,89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12,42</w:t>
            </w:r>
          </w:p>
        </w:tc>
      </w:tr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1 781,80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1 784,10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1 784,10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0,12</w:t>
            </w:r>
          </w:p>
        </w:tc>
      </w:tr>
      <w:tr w:rsidR="0041424D" w:rsidRPr="00805EED" w:rsidTr="009308AD">
        <w:trPr>
          <w:trHeight w:val="416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9 541,83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11 290,35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11 198,18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99,18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0,76</w:t>
            </w:r>
          </w:p>
        </w:tc>
      </w:tr>
      <w:tr w:rsidR="0041424D" w:rsidRPr="00805EED" w:rsidTr="009308AD">
        <w:trPr>
          <w:trHeight w:val="360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20 775,18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292 332,68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283 793,66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97,08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19,30</w:t>
            </w:r>
          </w:p>
        </w:tc>
      </w:tr>
      <w:tr w:rsidR="0041424D" w:rsidRPr="00805EED" w:rsidTr="009308AD">
        <w:trPr>
          <w:trHeight w:val="273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40 536,63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81 816,24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79 499,13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97,17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5,41</w:t>
            </w:r>
          </w:p>
        </w:tc>
      </w:tr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507 049,02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579 719,06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572 810,42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98,81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38,95</w:t>
            </w:r>
          </w:p>
        </w:tc>
      </w:tr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92 524,21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115 964,13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115 448,88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99,56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7,85</w:t>
            </w:r>
          </w:p>
        </w:tc>
      </w:tr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136 122,69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143 380,36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139 562,64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97,34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9,49</w:t>
            </w:r>
          </w:p>
        </w:tc>
      </w:tr>
      <w:tr w:rsidR="0041424D" w:rsidRPr="00805EED" w:rsidTr="009308AD">
        <w:trPr>
          <w:trHeight w:val="255"/>
        </w:trPr>
        <w:tc>
          <w:tcPr>
            <w:tcW w:w="724" w:type="dxa"/>
            <w:shd w:val="clear" w:color="auto" w:fill="auto"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  <w:r w:rsidRPr="00805EED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</w:pPr>
            <w:r w:rsidRPr="00805E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58 458,61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130 440,10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83 848,61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64,28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5,70</w:t>
            </w:r>
          </w:p>
        </w:tc>
      </w:tr>
      <w:tr w:rsidR="0041424D" w:rsidRPr="00805EED" w:rsidTr="009308A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1424D" w:rsidRPr="00805EED" w:rsidRDefault="0041424D" w:rsidP="009308AD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  <w:rPr>
                <w:bCs/>
              </w:rPr>
            </w:pPr>
            <w:r w:rsidRPr="005B0192">
              <w:rPr>
                <w:bCs/>
                <w:sz w:val="22"/>
                <w:szCs w:val="22"/>
              </w:rPr>
              <w:t>1 066 811,63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1 541 391,31</w:t>
            </w:r>
          </w:p>
        </w:tc>
        <w:tc>
          <w:tcPr>
            <w:tcW w:w="1417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1 470 551,87</w:t>
            </w:r>
          </w:p>
        </w:tc>
        <w:tc>
          <w:tcPr>
            <w:tcW w:w="851" w:type="dxa"/>
            <w:vAlign w:val="center"/>
          </w:tcPr>
          <w:p w:rsidR="0041424D" w:rsidRPr="005B0192" w:rsidRDefault="0041424D" w:rsidP="009308AD">
            <w:pPr>
              <w:jc w:val="center"/>
            </w:pPr>
            <w:r>
              <w:rPr>
                <w:sz w:val="22"/>
                <w:szCs w:val="22"/>
              </w:rPr>
              <w:t>95,41</w:t>
            </w:r>
          </w:p>
        </w:tc>
        <w:tc>
          <w:tcPr>
            <w:tcW w:w="1275" w:type="dxa"/>
            <w:vAlign w:val="center"/>
          </w:tcPr>
          <w:p w:rsidR="0041424D" w:rsidRPr="005B0192" w:rsidRDefault="0041424D" w:rsidP="009308AD">
            <w:pPr>
              <w:jc w:val="center"/>
            </w:pPr>
            <w:r w:rsidRPr="005B0192">
              <w:rPr>
                <w:sz w:val="22"/>
                <w:szCs w:val="22"/>
              </w:rPr>
              <w:t>-</w:t>
            </w:r>
          </w:p>
        </w:tc>
      </w:tr>
    </w:tbl>
    <w:p w:rsidR="0041424D" w:rsidRDefault="0041424D" w:rsidP="0041424D">
      <w:pPr>
        <w:jc w:val="both"/>
        <w:rPr>
          <w:sz w:val="28"/>
          <w:szCs w:val="28"/>
        </w:rPr>
      </w:pPr>
    </w:p>
    <w:p w:rsidR="0041424D" w:rsidRPr="004E410F" w:rsidRDefault="0041424D" w:rsidP="0041424D">
      <w:pPr>
        <w:ind w:firstLine="709"/>
        <w:jc w:val="both"/>
        <w:rPr>
          <w:sz w:val="28"/>
          <w:szCs w:val="28"/>
        </w:rPr>
      </w:pPr>
      <w:r w:rsidRPr="00826D99">
        <w:rPr>
          <w:sz w:val="28"/>
          <w:szCs w:val="28"/>
        </w:rPr>
        <w:t>Самый</w:t>
      </w:r>
      <w:r>
        <w:rPr>
          <w:sz w:val="28"/>
          <w:szCs w:val="28"/>
        </w:rPr>
        <w:t xml:space="preserve"> низкий процент исполнения объема утвержденных расходов по функциональной структуре сложился по разделу 11</w:t>
      </w:r>
      <w:r w:rsidRPr="004E410F">
        <w:rPr>
          <w:sz w:val="28"/>
          <w:szCs w:val="28"/>
        </w:rPr>
        <w:t xml:space="preserve">00 "Физическая культура и спорт" – </w:t>
      </w:r>
      <w:r>
        <w:rPr>
          <w:sz w:val="28"/>
          <w:szCs w:val="28"/>
        </w:rPr>
        <w:t>64,28</w:t>
      </w:r>
      <w:r w:rsidRPr="004E410F">
        <w:rPr>
          <w:sz w:val="28"/>
          <w:szCs w:val="28"/>
        </w:rPr>
        <w:t xml:space="preserve">%, в сумме </w:t>
      </w:r>
      <w:r>
        <w:rPr>
          <w:sz w:val="28"/>
          <w:szCs w:val="28"/>
        </w:rPr>
        <w:t>83 848,61</w:t>
      </w:r>
      <w:r w:rsidRPr="004E410F">
        <w:rPr>
          <w:sz w:val="28"/>
          <w:szCs w:val="28"/>
        </w:rPr>
        <w:t xml:space="preserve"> тыс. рублей. 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</w:t>
      </w:r>
      <w:r w:rsidRPr="00D30642">
        <w:rPr>
          <w:sz w:val="28"/>
          <w:szCs w:val="28"/>
        </w:rPr>
        <w:t>удельный вес в общем объеме расхо</w:t>
      </w:r>
      <w:r>
        <w:rPr>
          <w:sz w:val="28"/>
          <w:szCs w:val="28"/>
        </w:rPr>
        <w:t>дов занимает «Образование» – 38,95</w:t>
      </w:r>
      <w:r w:rsidRPr="00D30642">
        <w:rPr>
          <w:sz w:val="28"/>
          <w:szCs w:val="28"/>
        </w:rPr>
        <w:t xml:space="preserve">%, в сумме </w:t>
      </w:r>
      <w:r w:rsidRPr="005B0192">
        <w:rPr>
          <w:sz w:val="28"/>
          <w:szCs w:val="28"/>
        </w:rPr>
        <w:t>572 810,42</w:t>
      </w:r>
      <w:r w:rsidRPr="00D30642">
        <w:rPr>
          <w:sz w:val="28"/>
          <w:szCs w:val="28"/>
        </w:rPr>
        <w:t>тыс. ру</w:t>
      </w:r>
      <w:r>
        <w:rPr>
          <w:sz w:val="28"/>
          <w:szCs w:val="28"/>
        </w:rPr>
        <w:t>блей.</w:t>
      </w:r>
    </w:p>
    <w:p w:rsidR="0041424D" w:rsidRDefault="0041424D" w:rsidP="0041424D">
      <w:pPr>
        <w:ind w:firstLine="720"/>
        <w:jc w:val="both"/>
        <w:rPr>
          <w:sz w:val="28"/>
          <w:szCs w:val="28"/>
        </w:rPr>
      </w:pPr>
      <w:r w:rsidRPr="00D6675B">
        <w:rPr>
          <w:sz w:val="28"/>
          <w:szCs w:val="28"/>
        </w:rPr>
        <w:t>Расходы местного бюджета направлены на реализацию 10 муниципальных программ.</w:t>
      </w:r>
      <w:r>
        <w:rPr>
          <w:sz w:val="28"/>
          <w:szCs w:val="28"/>
        </w:rPr>
        <w:t xml:space="preserve"> </w:t>
      </w:r>
      <w:proofErr w:type="gramStart"/>
      <w:r w:rsidRPr="00D6675B">
        <w:rPr>
          <w:sz w:val="28"/>
          <w:szCs w:val="28"/>
        </w:rPr>
        <w:t xml:space="preserve">При уточненном запланированном объеме на реализацию муниципальных программ в </w:t>
      </w:r>
      <w:r w:rsidRPr="00256152">
        <w:rPr>
          <w:sz w:val="28"/>
          <w:szCs w:val="28"/>
        </w:rPr>
        <w:t xml:space="preserve">размере  </w:t>
      </w:r>
      <w:r>
        <w:rPr>
          <w:sz w:val="28"/>
          <w:szCs w:val="28"/>
        </w:rPr>
        <w:t>1 467 887,57</w:t>
      </w:r>
      <w:r w:rsidRPr="00256152">
        <w:rPr>
          <w:sz w:val="28"/>
          <w:szCs w:val="28"/>
        </w:rPr>
        <w:t xml:space="preserve"> тыс. рублей, фактически произведено расходов на сумму </w:t>
      </w:r>
      <w:r>
        <w:rPr>
          <w:sz w:val="28"/>
          <w:szCs w:val="28"/>
        </w:rPr>
        <w:t>1 398 862,08 тыс. рублей (95,30</w:t>
      </w:r>
      <w:r w:rsidRPr="00256152">
        <w:rPr>
          <w:sz w:val="28"/>
          <w:szCs w:val="28"/>
        </w:rPr>
        <w:t>% к уточненному годовому плану</w:t>
      </w:r>
      <w:r>
        <w:rPr>
          <w:sz w:val="28"/>
          <w:szCs w:val="28"/>
        </w:rPr>
        <w:t>), в том числе за счет средств федерального бюджета 18 317,78 тыс. рублей, краевого бюджета – 832 954,17 тыс. рублей, целевых средств – 1 394,56тыс. рублей, собственных средств – 546 195,57 тыс. рублей</w:t>
      </w:r>
      <w:proofErr w:type="gramEnd"/>
      <w:r>
        <w:rPr>
          <w:sz w:val="28"/>
          <w:szCs w:val="28"/>
        </w:rPr>
        <w:t xml:space="preserve">. </w:t>
      </w:r>
      <w:r w:rsidRPr="00256152">
        <w:rPr>
          <w:sz w:val="28"/>
          <w:szCs w:val="28"/>
        </w:rPr>
        <w:t xml:space="preserve">Доля программных расходов в общей сумме расходов составляет </w:t>
      </w:r>
      <w:r>
        <w:rPr>
          <w:sz w:val="28"/>
          <w:szCs w:val="28"/>
        </w:rPr>
        <w:t>95,12</w:t>
      </w:r>
      <w:r w:rsidRPr="00256152">
        <w:rPr>
          <w:sz w:val="28"/>
          <w:szCs w:val="28"/>
        </w:rPr>
        <w:t>%.</w:t>
      </w:r>
    </w:p>
    <w:p w:rsidR="0041424D" w:rsidRPr="006D744F" w:rsidRDefault="0041424D" w:rsidP="0041424D">
      <w:pPr>
        <w:spacing w:line="240" w:lineRule="exact"/>
        <w:ind w:firstLine="720"/>
        <w:rPr>
          <w:sz w:val="28"/>
          <w:szCs w:val="28"/>
          <w:highlight w:val="yellow"/>
        </w:rPr>
      </w:pPr>
    </w:p>
    <w:p w:rsidR="0041424D" w:rsidRPr="00136B10" w:rsidRDefault="0041424D" w:rsidP="0041424D">
      <w:pPr>
        <w:spacing w:line="240" w:lineRule="exact"/>
        <w:jc w:val="center"/>
        <w:rPr>
          <w:sz w:val="28"/>
          <w:szCs w:val="28"/>
        </w:rPr>
      </w:pPr>
      <w:bookmarkStart w:id="1" w:name="Par10"/>
      <w:bookmarkEnd w:id="1"/>
      <w:r w:rsidRPr="00136B10">
        <w:rPr>
          <w:sz w:val="28"/>
          <w:szCs w:val="28"/>
        </w:rPr>
        <w:t>РАСХОДЫ</w:t>
      </w:r>
    </w:p>
    <w:p w:rsidR="0041424D" w:rsidRDefault="0041424D" w:rsidP="0041424D">
      <w:pPr>
        <w:spacing w:line="240" w:lineRule="exact"/>
        <w:ind w:firstLine="720"/>
        <w:jc w:val="center"/>
        <w:rPr>
          <w:sz w:val="28"/>
          <w:szCs w:val="28"/>
        </w:rPr>
      </w:pPr>
      <w:r w:rsidRPr="00136B10">
        <w:rPr>
          <w:sz w:val="28"/>
          <w:szCs w:val="28"/>
        </w:rPr>
        <w:t xml:space="preserve">местного бюджета, направленные на реализацию 10 муниципальных программ Новоселицкого муниципального округа Ставропольского края </w:t>
      </w:r>
    </w:p>
    <w:p w:rsidR="0041424D" w:rsidRPr="00136B10" w:rsidRDefault="0041424D" w:rsidP="0041424D">
      <w:pPr>
        <w:spacing w:line="240" w:lineRule="exact"/>
        <w:ind w:firstLine="720"/>
        <w:jc w:val="center"/>
        <w:rPr>
          <w:sz w:val="28"/>
          <w:szCs w:val="28"/>
        </w:rPr>
      </w:pPr>
      <w:r w:rsidRPr="00136B10">
        <w:rPr>
          <w:sz w:val="28"/>
          <w:szCs w:val="28"/>
        </w:rPr>
        <w:t xml:space="preserve">и реализацию </w:t>
      </w:r>
      <w:proofErr w:type="spellStart"/>
      <w:r w:rsidRPr="00136B10">
        <w:rPr>
          <w:sz w:val="28"/>
          <w:szCs w:val="28"/>
        </w:rPr>
        <w:t>непрограммных</w:t>
      </w:r>
      <w:proofErr w:type="spellEnd"/>
      <w:r w:rsidRPr="00136B10">
        <w:rPr>
          <w:sz w:val="28"/>
          <w:szCs w:val="28"/>
        </w:rPr>
        <w:t xml:space="preserve"> направлений деятельности </w:t>
      </w:r>
    </w:p>
    <w:p w:rsidR="0041424D" w:rsidRPr="00136B10" w:rsidRDefault="0041424D" w:rsidP="0041424D">
      <w:pPr>
        <w:jc w:val="right"/>
        <w:rPr>
          <w:sz w:val="28"/>
          <w:szCs w:val="28"/>
        </w:rPr>
      </w:pPr>
      <w:r w:rsidRPr="00136B10">
        <w:rPr>
          <w:sz w:val="28"/>
          <w:szCs w:val="28"/>
        </w:rPr>
        <w:t>(тыс. 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559"/>
        <w:gridCol w:w="1560"/>
        <w:gridCol w:w="1559"/>
        <w:gridCol w:w="992"/>
      </w:tblGrid>
      <w:tr w:rsidR="0041424D" w:rsidRPr="006D744F" w:rsidTr="009308AD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Утверждено решением о бюджете с учетом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Исполнено за 202</w:t>
            </w:r>
            <w:r>
              <w:rPr>
                <w:color w:val="000000"/>
              </w:rPr>
              <w:t>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00" w:lineRule="exact"/>
              <w:jc w:val="center"/>
              <w:rPr>
                <w:color w:val="000000"/>
              </w:rPr>
            </w:pPr>
            <w:r w:rsidRPr="00136B10">
              <w:rPr>
                <w:color w:val="000000"/>
              </w:rPr>
              <w:t>% исполнения</w:t>
            </w:r>
          </w:p>
        </w:tc>
      </w:tr>
      <w:tr w:rsidR="0041424D" w:rsidRPr="006D744F" w:rsidTr="009308AD">
        <w:trPr>
          <w:trHeight w:val="63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6E7564" w:rsidRDefault="0041424D" w:rsidP="009308AD">
            <w:pPr>
              <w:spacing w:line="240" w:lineRule="exact"/>
              <w:rPr>
                <w:b/>
                <w:color w:val="000000"/>
              </w:rPr>
            </w:pPr>
            <w:r w:rsidRPr="006E7564">
              <w:rPr>
                <w:b/>
                <w:color w:val="000000"/>
              </w:rPr>
              <w:t>Расходы на реализацию программ,</w:t>
            </w:r>
          </w:p>
          <w:p w:rsidR="0041424D" w:rsidRPr="006E7564" w:rsidRDefault="0041424D" w:rsidP="009308AD">
            <w:pPr>
              <w:spacing w:line="240" w:lineRule="exact"/>
              <w:rPr>
                <w:b/>
                <w:color w:val="000000"/>
              </w:rPr>
            </w:pPr>
            <w:r w:rsidRPr="006E7564">
              <w:rPr>
                <w:b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6E7564" w:rsidRDefault="0041424D" w:rsidP="009308A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980 897,25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732A2F" w:rsidRDefault="0041424D" w:rsidP="009308AD">
            <w:pPr>
              <w:spacing w:line="240" w:lineRule="exact"/>
              <w:jc w:val="center"/>
              <w:rPr>
                <w:b/>
              </w:rPr>
            </w:pPr>
            <w:r w:rsidRPr="00732A2F">
              <w:rPr>
                <w:b/>
              </w:rPr>
              <w:t>1 467 887,57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732A2F" w:rsidRDefault="0041424D" w:rsidP="009308AD">
            <w:pPr>
              <w:spacing w:line="240" w:lineRule="exact"/>
              <w:jc w:val="center"/>
              <w:rPr>
                <w:b/>
              </w:rPr>
            </w:pPr>
            <w:r w:rsidRPr="00732A2F">
              <w:rPr>
                <w:b/>
              </w:rPr>
              <w:t>1 398 862,08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732A2F" w:rsidRDefault="0041424D" w:rsidP="009308AD">
            <w:pPr>
              <w:spacing w:line="240" w:lineRule="exact"/>
              <w:jc w:val="center"/>
              <w:rPr>
                <w:b/>
              </w:rPr>
            </w:pPr>
            <w:r w:rsidRPr="00732A2F">
              <w:rPr>
                <w:b/>
              </w:rPr>
              <w:t>95,30</w:t>
            </w:r>
          </w:p>
        </w:tc>
      </w:tr>
      <w:tr w:rsidR="0041424D" w:rsidRPr="006D744F" w:rsidTr="009308AD">
        <w:trPr>
          <w:trHeight w:val="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40" w:lineRule="exact"/>
              <w:rPr>
                <w:color w:val="000000"/>
              </w:rPr>
            </w:pPr>
            <w:r w:rsidRPr="00136B10">
              <w:rPr>
                <w:color w:val="000000"/>
              </w:rPr>
              <w:t>Осуществление местного самоуправления в Новоселицком муниципальном округе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136B10" w:rsidRDefault="0041424D" w:rsidP="009308AD">
            <w:pPr>
              <w:spacing w:line="240" w:lineRule="exact"/>
              <w:jc w:val="center"/>
            </w:pPr>
            <w:r>
              <w:t>168 774,77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567 296,23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>
              <w:t>506 219,22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89,23</w:t>
            </w:r>
          </w:p>
        </w:tc>
      </w:tr>
      <w:tr w:rsidR="0041424D" w:rsidRPr="006D744F" w:rsidTr="009308AD">
        <w:trPr>
          <w:trHeight w:val="7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136B10" w:rsidRDefault="0041424D" w:rsidP="009308AD">
            <w:pPr>
              <w:spacing w:line="240" w:lineRule="exact"/>
              <w:rPr>
                <w:color w:val="000000"/>
              </w:rPr>
            </w:pPr>
            <w:r w:rsidRPr="00136B10">
              <w:rPr>
                <w:color w:val="000000"/>
              </w:rPr>
              <w:t>Развитие образования в Новоселицком муниципальном округе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136B10" w:rsidRDefault="0041424D" w:rsidP="009308AD">
            <w:pPr>
              <w:spacing w:line="240" w:lineRule="exact"/>
              <w:jc w:val="center"/>
            </w:pPr>
            <w:r>
              <w:t>509 522,42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>
              <w:t>573 483,60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566 599,46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98,80</w:t>
            </w:r>
          </w:p>
        </w:tc>
      </w:tr>
      <w:tr w:rsidR="0041424D" w:rsidRPr="006D744F" w:rsidTr="009308AD">
        <w:trPr>
          <w:trHeight w:val="2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8 510,26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8 951,72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8 951,72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100,00</w:t>
            </w:r>
          </w:p>
        </w:tc>
      </w:tr>
      <w:tr w:rsidR="0041424D" w:rsidRPr="006D744F" w:rsidTr="009308AD">
        <w:trPr>
          <w:trHeight w:val="6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Социальная поддержка граждан в Новоселицком муниципальном округе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130 017,03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125 308,58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124 981,08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99,74</w:t>
            </w:r>
          </w:p>
        </w:tc>
      </w:tr>
      <w:tr w:rsidR="0041424D" w:rsidRPr="006D744F" w:rsidTr="009308AD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Управление финансами Новоселицкого муниципального округа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34 180,82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37 253,51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37 192,48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99,84</w:t>
            </w:r>
          </w:p>
        </w:tc>
      </w:tr>
      <w:tr w:rsidR="0041424D" w:rsidRPr="006D744F" w:rsidTr="009308AD">
        <w:trPr>
          <w:trHeight w:val="6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Сохранение и развитие культуры в Новоселицком муниципальном округе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92 493,91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115 423,95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114 908,68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99,55</w:t>
            </w:r>
          </w:p>
        </w:tc>
      </w:tr>
      <w:tr w:rsidR="0041424D" w:rsidRPr="006D744F" w:rsidTr="009308AD">
        <w:trPr>
          <w:trHeight w:val="7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Управление имуществом Новоселицкого муниципального округа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5 106,30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5 391,22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5 341,34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99,07</w:t>
            </w:r>
          </w:p>
        </w:tc>
      </w:tr>
      <w:tr w:rsidR="0041424D" w:rsidRPr="006D744F" w:rsidTr="009308AD">
        <w:trPr>
          <w:trHeight w:val="5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 xml:space="preserve">Молодежь </w:t>
            </w:r>
            <w:proofErr w:type="spellStart"/>
            <w:r w:rsidRPr="00C4612C">
              <w:rPr>
                <w:color w:val="000000"/>
              </w:rPr>
              <w:t>Новоселицкогомуниципального</w:t>
            </w:r>
            <w:proofErr w:type="spellEnd"/>
            <w:r w:rsidRPr="00C4612C">
              <w:rPr>
                <w:color w:val="000000"/>
              </w:rPr>
              <w:t xml:space="preserve">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1 285,66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0847AB" w:rsidRDefault="0041424D" w:rsidP="009308AD">
            <w:pPr>
              <w:jc w:val="center"/>
            </w:pPr>
            <w:r w:rsidRPr="000847AB">
              <w:t>1 358,68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7F2D92" w:rsidRDefault="0041424D" w:rsidP="009308AD">
            <w:pPr>
              <w:jc w:val="center"/>
            </w:pPr>
            <w:r w:rsidRPr="007F2D92">
              <w:t>1 358,68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4D" w:rsidRPr="004B5B7C" w:rsidRDefault="0041424D" w:rsidP="009308AD">
            <w:pPr>
              <w:jc w:val="center"/>
            </w:pPr>
            <w:r w:rsidRPr="004B5B7C">
              <w:t>100,00</w:t>
            </w:r>
          </w:p>
        </w:tc>
      </w:tr>
      <w:tr w:rsidR="0041424D" w:rsidRPr="006D744F" w:rsidTr="009308AD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 xml:space="preserve">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10 006,07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0847AB" w:rsidRDefault="0041424D" w:rsidP="009308AD">
            <w:pPr>
              <w:jc w:val="center"/>
            </w:pPr>
            <w:r w:rsidRPr="000847AB">
              <w:t>11 494,86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7F2D92" w:rsidRDefault="0041424D" w:rsidP="009308AD">
            <w:pPr>
              <w:jc w:val="center"/>
            </w:pPr>
            <w:r w:rsidRPr="007F2D92">
              <w:t>11 384,20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4B5B7C" w:rsidRDefault="0041424D" w:rsidP="009308AD">
            <w:pPr>
              <w:jc w:val="center"/>
            </w:pPr>
            <w:r w:rsidRPr="004B5B7C">
              <w:t>99,04</w:t>
            </w:r>
          </w:p>
        </w:tc>
      </w:tr>
      <w:tr w:rsidR="0041424D" w:rsidRPr="006D744F" w:rsidTr="009308AD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C4612C" w:rsidRDefault="0041424D" w:rsidP="009308AD">
            <w:pPr>
              <w:spacing w:line="240" w:lineRule="exact"/>
              <w:rPr>
                <w:color w:val="000000"/>
              </w:rPr>
            </w:pPr>
            <w:r w:rsidRPr="00C4612C">
              <w:rPr>
                <w:color w:val="000000"/>
              </w:rPr>
              <w:t>Формирование современной городской среды Новоселицкого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C4612C" w:rsidRDefault="0041424D" w:rsidP="009308AD">
            <w:pPr>
              <w:spacing w:line="240" w:lineRule="exact"/>
              <w:jc w:val="center"/>
            </w:pPr>
            <w: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0847AB" w:rsidRDefault="0041424D" w:rsidP="009308AD">
            <w:pPr>
              <w:jc w:val="center"/>
            </w:pPr>
            <w:r w:rsidRPr="000847AB">
              <w:t>21 925,22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7F2D92" w:rsidRDefault="0041424D" w:rsidP="009308AD">
            <w:pPr>
              <w:jc w:val="center"/>
            </w:pPr>
            <w:r w:rsidRPr="007F2D92">
              <w:t>21 925,22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4B5B7C" w:rsidRDefault="0041424D" w:rsidP="009308AD">
            <w:pPr>
              <w:jc w:val="center"/>
            </w:pPr>
            <w:r w:rsidRPr="004B5B7C">
              <w:t>100,00</w:t>
            </w:r>
          </w:p>
        </w:tc>
      </w:tr>
      <w:tr w:rsidR="0041424D" w:rsidRPr="006D744F" w:rsidTr="009308AD"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C4612C" w:rsidRDefault="0041424D" w:rsidP="009308AD">
            <w:pPr>
              <w:spacing w:line="240" w:lineRule="exact"/>
              <w:rPr>
                <w:b/>
                <w:color w:val="000000"/>
              </w:rPr>
            </w:pPr>
            <w:r w:rsidRPr="00C4612C">
              <w:rPr>
                <w:b/>
                <w:color w:val="000000"/>
              </w:rPr>
              <w:t xml:space="preserve">Расходы на реализацию </w:t>
            </w:r>
            <w:proofErr w:type="spellStart"/>
            <w:r w:rsidRPr="00C4612C">
              <w:rPr>
                <w:b/>
                <w:color w:val="000000"/>
              </w:rPr>
              <w:t>непрограммных</w:t>
            </w:r>
            <w:proofErr w:type="spellEnd"/>
            <w:r w:rsidRPr="00C4612C">
              <w:rPr>
                <w:b/>
                <w:color w:val="000000"/>
              </w:rPr>
              <w:t xml:space="preserve">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C4612C" w:rsidRDefault="0041424D" w:rsidP="009308A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85 914,38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Default="0041424D" w:rsidP="009308AD">
            <w:pPr>
              <w:jc w:val="center"/>
            </w:pPr>
            <w:r w:rsidRPr="000847AB">
              <w:t>73 503,74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Default="0041424D" w:rsidP="009308AD">
            <w:pPr>
              <w:jc w:val="center"/>
            </w:pPr>
            <w:r w:rsidRPr="007F2D92">
              <w:t>71 689,79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Default="0041424D" w:rsidP="009308AD">
            <w:pPr>
              <w:jc w:val="center"/>
            </w:pPr>
            <w:r w:rsidRPr="004B5B7C">
              <w:t>97,53</w:t>
            </w:r>
          </w:p>
        </w:tc>
      </w:tr>
      <w:tr w:rsidR="0041424D" w:rsidRPr="006D744F" w:rsidTr="009308AD">
        <w:trPr>
          <w:trHeight w:val="3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4D" w:rsidRPr="00C4612C" w:rsidRDefault="0041424D" w:rsidP="009308AD">
            <w:pPr>
              <w:spacing w:line="240" w:lineRule="exact"/>
              <w:rPr>
                <w:b/>
                <w:color w:val="000000"/>
              </w:rPr>
            </w:pPr>
            <w:r w:rsidRPr="00C4612C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C4612C" w:rsidRDefault="0041424D" w:rsidP="009308A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1 066 811,63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732A2F" w:rsidRDefault="0041424D" w:rsidP="009308AD">
            <w:pPr>
              <w:jc w:val="center"/>
              <w:rPr>
                <w:b/>
              </w:rPr>
            </w:pPr>
            <w:r w:rsidRPr="00732A2F">
              <w:rPr>
                <w:b/>
              </w:rPr>
              <w:t>1 541 391,31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732A2F" w:rsidRDefault="0041424D" w:rsidP="009308AD">
            <w:pPr>
              <w:jc w:val="center"/>
              <w:rPr>
                <w:b/>
              </w:rPr>
            </w:pPr>
            <w:r w:rsidRPr="00732A2F">
              <w:rPr>
                <w:b/>
              </w:rPr>
              <w:t>1 470 551,87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4D" w:rsidRPr="00732A2F" w:rsidRDefault="0041424D" w:rsidP="009308AD">
            <w:pPr>
              <w:jc w:val="center"/>
              <w:rPr>
                <w:b/>
              </w:rPr>
            </w:pPr>
            <w:r>
              <w:rPr>
                <w:b/>
              </w:rPr>
              <w:t>95,41</w:t>
            </w:r>
          </w:p>
        </w:tc>
      </w:tr>
    </w:tbl>
    <w:p w:rsidR="0041424D" w:rsidRDefault="0041424D" w:rsidP="0041424D">
      <w:pPr>
        <w:rPr>
          <w:b/>
          <w:highlight w:val="yellow"/>
        </w:rPr>
      </w:pPr>
    </w:p>
    <w:p w:rsidR="0041424D" w:rsidRPr="00E423E2" w:rsidRDefault="0041424D" w:rsidP="0041424D">
      <w:pPr>
        <w:ind w:firstLine="709"/>
        <w:jc w:val="center"/>
        <w:rPr>
          <w:b/>
          <w:sz w:val="28"/>
          <w:szCs w:val="28"/>
        </w:rPr>
      </w:pPr>
      <w:r w:rsidRPr="00E423E2">
        <w:rPr>
          <w:b/>
          <w:sz w:val="28"/>
          <w:szCs w:val="28"/>
        </w:rPr>
        <w:t>Муниципальная программа «Осуществление местного самоуправления в Новоселицком муниципальном округе Ставропольского края»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E423E2">
        <w:rPr>
          <w:sz w:val="28"/>
          <w:szCs w:val="28"/>
        </w:rPr>
        <w:lastRenderedPageBreak/>
        <w:t>Общий объем бюджетных ассигнований  по состоянию на 01.</w:t>
      </w:r>
      <w:r>
        <w:rPr>
          <w:sz w:val="28"/>
          <w:szCs w:val="28"/>
        </w:rPr>
        <w:t>01.2025 г. составляет 567 296,23</w:t>
      </w:r>
      <w:r w:rsidRPr="00E423E2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ублей, что больше первоначального </w:t>
      </w:r>
      <w:r w:rsidRPr="00E423E2">
        <w:rPr>
          <w:sz w:val="28"/>
          <w:szCs w:val="28"/>
        </w:rPr>
        <w:t xml:space="preserve">плана на </w:t>
      </w:r>
      <w:r>
        <w:rPr>
          <w:sz w:val="28"/>
          <w:szCs w:val="28"/>
        </w:rPr>
        <w:t>398 521,45</w:t>
      </w:r>
      <w:r w:rsidRPr="00E423E2">
        <w:rPr>
          <w:sz w:val="28"/>
          <w:szCs w:val="28"/>
        </w:rPr>
        <w:t xml:space="preserve"> тыс. рублей.  Изменения произошли за счет</w:t>
      </w:r>
      <w:r>
        <w:rPr>
          <w:sz w:val="28"/>
          <w:szCs w:val="28"/>
        </w:rPr>
        <w:t>: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 xml:space="preserve">4 года на следующие </w:t>
      </w:r>
      <w:proofErr w:type="spellStart"/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азвитие</w:t>
      </w:r>
      <w:proofErr w:type="spellEnd"/>
      <w:r w:rsidRPr="005822E1">
        <w:rPr>
          <w:sz w:val="28"/>
          <w:szCs w:val="28"/>
        </w:rPr>
        <w:t xml:space="preserve"> дорожного фонда </w:t>
      </w:r>
      <w:r>
        <w:rPr>
          <w:sz w:val="28"/>
          <w:szCs w:val="28"/>
        </w:rPr>
        <w:t>и</w:t>
      </w:r>
      <w:r w:rsidRPr="005822E1">
        <w:rPr>
          <w:sz w:val="28"/>
          <w:szCs w:val="28"/>
        </w:rPr>
        <w:t xml:space="preserve"> благоустройство территории </w:t>
      </w:r>
      <w:proofErr w:type="spellStart"/>
      <w:r>
        <w:rPr>
          <w:sz w:val="28"/>
          <w:szCs w:val="28"/>
        </w:rPr>
        <w:t>округа,у</w:t>
      </w:r>
      <w:r w:rsidRPr="009A4687">
        <w:rPr>
          <w:sz w:val="28"/>
          <w:szCs w:val="28"/>
        </w:rPr>
        <w:t>становление</w:t>
      </w:r>
      <w:proofErr w:type="spellEnd"/>
      <w:r w:rsidRPr="009A4687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округа,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субсидии по с</w:t>
      </w:r>
      <w:r w:rsidRPr="009A4687">
        <w:rPr>
          <w:sz w:val="28"/>
          <w:szCs w:val="28"/>
        </w:rPr>
        <w:t>оциаль</w:t>
      </w:r>
      <w:r>
        <w:rPr>
          <w:sz w:val="28"/>
          <w:szCs w:val="28"/>
        </w:rPr>
        <w:t>ной</w:t>
      </w:r>
      <w:r w:rsidRPr="009A4687">
        <w:rPr>
          <w:sz w:val="28"/>
          <w:szCs w:val="28"/>
        </w:rPr>
        <w:t xml:space="preserve"> выпла</w:t>
      </w:r>
      <w:r>
        <w:rPr>
          <w:sz w:val="28"/>
          <w:szCs w:val="28"/>
        </w:rPr>
        <w:t>те</w:t>
      </w:r>
      <w:r w:rsidRPr="009A4687">
        <w:rPr>
          <w:sz w:val="28"/>
          <w:szCs w:val="28"/>
        </w:rPr>
        <w:t xml:space="preserve"> на приобретение жилья молодым семьям</w:t>
      </w:r>
      <w:r w:rsidRPr="00D06A98">
        <w:rPr>
          <w:sz w:val="28"/>
          <w:szCs w:val="28"/>
        </w:rPr>
        <w:t xml:space="preserve">, на обеспечение деятельности администрации НМО </w:t>
      </w:r>
      <w:proofErr w:type="spellStart"/>
      <w:r w:rsidRPr="00D06A98">
        <w:rPr>
          <w:sz w:val="28"/>
          <w:szCs w:val="28"/>
        </w:rPr>
        <w:t>СК</w:t>
      </w:r>
      <w:r>
        <w:rPr>
          <w:sz w:val="28"/>
          <w:szCs w:val="28"/>
        </w:rPr>
        <w:t>,</w:t>
      </w:r>
      <w:r w:rsidRPr="00C56AA0"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с</w:t>
      </w:r>
      <w:r w:rsidRPr="00097E20">
        <w:rPr>
          <w:sz w:val="28"/>
          <w:szCs w:val="28"/>
        </w:rPr>
        <w:t>троительство  объектов спорт</w:t>
      </w:r>
      <w:r>
        <w:rPr>
          <w:sz w:val="28"/>
          <w:szCs w:val="28"/>
        </w:rPr>
        <w:t>а и др.;</w:t>
      </w:r>
    </w:p>
    <w:p w:rsidR="0041424D" w:rsidRPr="006422A7" w:rsidRDefault="0041424D" w:rsidP="0041424D">
      <w:pPr>
        <w:ind w:firstLine="709"/>
        <w:jc w:val="both"/>
        <w:rPr>
          <w:sz w:val="28"/>
          <w:szCs w:val="28"/>
        </w:rPr>
      </w:pPr>
      <w:proofErr w:type="gramStart"/>
      <w:r w:rsidRPr="00347C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выделения межбюджетных трансфертов из </w:t>
      </w:r>
      <w:r w:rsidRPr="00347C52">
        <w:rPr>
          <w:sz w:val="28"/>
          <w:szCs w:val="28"/>
        </w:rPr>
        <w:t>краевого бюджета на капремонт и ремонт автомобильных дорог общего пользования</w:t>
      </w:r>
      <w:r>
        <w:rPr>
          <w:sz w:val="28"/>
          <w:szCs w:val="28"/>
        </w:rPr>
        <w:t xml:space="preserve">, </w:t>
      </w:r>
      <w:r w:rsidRPr="00CD0C55">
        <w:rPr>
          <w:sz w:val="28"/>
          <w:szCs w:val="28"/>
        </w:rPr>
        <w:t>на капитальный ремонт автомобильных дорог</w:t>
      </w:r>
      <w:r>
        <w:rPr>
          <w:sz w:val="28"/>
          <w:szCs w:val="28"/>
        </w:rPr>
        <w:t>,</w:t>
      </w:r>
      <w:r w:rsidRPr="00CD0C55">
        <w:rPr>
          <w:sz w:val="28"/>
          <w:szCs w:val="28"/>
        </w:rPr>
        <w:t xml:space="preserve"> ведущих к общеобразовательным организациям</w:t>
      </w:r>
      <w:r>
        <w:rPr>
          <w:sz w:val="28"/>
          <w:szCs w:val="28"/>
        </w:rPr>
        <w:t xml:space="preserve">, на </w:t>
      </w:r>
      <w:r w:rsidRPr="009F7709">
        <w:rPr>
          <w:sz w:val="28"/>
          <w:szCs w:val="28"/>
        </w:rPr>
        <w:t>реализацию мероприятий по обеспечению жильем молодых семей</w:t>
      </w:r>
      <w:r>
        <w:rPr>
          <w:sz w:val="28"/>
          <w:szCs w:val="28"/>
        </w:rPr>
        <w:t xml:space="preserve">, на </w:t>
      </w:r>
      <w:r w:rsidRPr="008D6DDD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>
        <w:rPr>
          <w:sz w:val="28"/>
          <w:szCs w:val="28"/>
        </w:rPr>
        <w:t xml:space="preserve">, на </w:t>
      </w:r>
      <w:r w:rsidRPr="008C05FD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8C05FD">
        <w:rPr>
          <w:sz w:val="28"/>
          <w:szCs w:val="28"/>
        </w:rPr>
        <w:t xml:space="preserve"> мероприятий по благоустройству дет</w:t>
      </w:r>
      <w:r>
        <w:rPr>
          <w:sz w:val="28"/>
          <w:szCs w:val="28"/>
        </w:rPr>
        <w:t>ской</w:t>
      </w:r>
      <w:r w:rsidRPr="008C05FD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 xml:space="preserve">ки </w:t>
      </w:r>
      <w:r w:rsidRPr="008C05F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селе Журавском, </w:t>
      </w:r>
      <w:r w:rsidRPr="00CD0C55">
        <w:rPr>
          <w:sz w:val="28"/>
          <w:szCs w:val="28"/>
        </w:rPr>
        <w:t xml:space="preserve">на реализацию инициативных проектов в селе </w:t>
      </w:r>
      <w:proofErr w:type="spellStart"/>
      <w:r w:rsidRPr="00CD0C55">
        <w:rPr>
          <w:sz w:val="28"/>
          <w:szCs w:val="28"/>
        </w:rPr>
        <w:t>Китаевском</w:t>
      </w:r>
      <w:proofErr w:type="spellEnd"/>
      <w:r w:rsidRPr="00CD0C55">
        <w:rPr>
          <w:sz w:val="28"/>
          <w:szCs w:val="28"/>
        </w:rPr>
        <w:t xml:space="preserve"> и </w:t>
      </w:r>
      <w:proofErr w:type="spellStart"/>
      <w:r w:rsidRPr="00CD0C55">
        <w:rPr>
          <w:sz w:val="28"/>
          <w:szCs w:val="28"/>
        </w:rPr>
        <w:t>вселе</w:t>
      </w:r>
      <w:proofErr w:type="spellEnd"/>
      <w:proofErr w:type="gramEnd"/>
      <w:r w:rsidRPr="00CD0C55">
        <w:rPr>
          <w:sz w:val="28"/>
          <w:szCs w:val="28"/>
        </w:rPr>
        <w:t xml:space="preserve"> </w:t>
      </w:r>
      <w:proofErr w:type="spellStart"/>
      <w:proofErr w:type="gramStart"/>
      <w:r w:rsidRPr="00CD0C55">
        <w:rPr>
          <w:sz w:val="28"/>
          <w:szCs w:val="28"/>
        </w:rPr>
        <w:t>Падинском</w:t>
      </w:r>
      <w:proofErr w:type="spellEnd"/>
      <w:r>
        <w:rPr>
          <w:sz w:val="28"/>
          <w:szCs w:val="28"/>
        </w:rPr>
        <w:t xml:space="preserve">, на </w:t>
      </w:r>
      <w:r w:rsidRPr="0078033F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78033F">
        <w:rPr>
          <w:sz w:val="28"/>
          <w:szCs w:val="28"/>
        </w:rPr>
        <w:t xml:space="preserve"> и осуществление деятельности по опеке и попечительству в области здравоохранения</w:t>
      </w:r>
      <w:r>
        <w:rPr>
          <w:sz w:val="28"/>
          <w:szCs w:val="28"/>
        </w:rPr>
        <w:t xml:space="preserve">, на реализацию </w:t>
      </w:r>
      <w:r w:rsidRPr="0078033F">
        <w:rPr>
          <w:sz w:val="28"/>
          <w:szCs w:val="28"/>
        </w:rPr>
        <w:t>переданных  отдельных государственных полномочий в области сельского хозяйства</w:t>
      </w:r>
      <w:r>
        <w:rPr>
          <w:sz w:val="28"/>
          <w:szCs w:val="28"/>
        </w:rPr>
        <w:t xml:space="preserve">, на </w:t>
      </w:r>
      <w:r w:rsidRPr="0078033F">
        <w:rPr>
          <w:sz w:val="28"/>
          <w:szCs w:val="28"/>
        </w:rPr>
        <w:t>осуществление отдельных государственных полномочий по организации архивного дела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r w:rsidRPr="0078033F">
        <w:rPr>
          <w:sz w:val="28"/>
          <w:szCs w:val="28"/>
        </w:rPr>
        <w:t>создание</w:t>
      </w:r>
      <w:proofErr w:type="spellEnd"/>
      <w:r w:rsidRPr="0078033F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ю</w:t>
      </w:r>
      <w:r w:rsidRPr="0078033F">
        <w:rPr>
          <w:sz w:val="28"/>
          <w:szCs w:val="28"/>
        </w:rPr>
        <w:t xml:space="preserve"> деятельности комиссий по делам несовершеннолетних и защите их прав</w:t>
      </w:r>
      <w:r>
        <w:rPr>
          <w:sz w:val="28"/>
          <w:szCs w:val="28"/>
        </w:rPr>
        <w:t xml:space="preserve">, на </w:t>
      </w:r>
      <w:r w:rsidRPr="0078033F">
        <w:rPr>
          <w:sz w:val="28"/>
          <w:szCs w:val="28"/>
        </w:rPr>
        <w:t>обеспечение деятельности депутатов Думы Ставропольского края</w:t>
      </w:r>
      <w:r>
        <w:rPr>
          <w:sz w:val="28"/>
          <w:szCs w:val="28"/>
        </w:rPr>
        <w:t>, на п</w:t>
      </w:r>
      <w:r w:rsidRPr="000E21A9">
        <w:rPr>
          <w:sz w:val="28"/>
          <w:szCs w:val="28"/>
        </w:rPr>
        <w:t>риобретение специализированной техники и оборудования для муниципальных нужд</w:t>
      </w:r>
      <w:proofErr w:type="gramEnd"/>
      <w:r w:rsidRPr="000E21A9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>;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6B2F41">
        <w:rPr>
          <w:sz w:val="28"/>
          <w:szCs w:val="28"/>
        </w:rPr>
        <w:t>- уменьшения  плановых годовых назначений в части предоставления межбюджетных</w:t>
      </w:r>
      <w:r w:rsidRPr="00263031">
        <w:rPr>
          <w:sz w:val="28"/>
          <w:szCs w:val="28"/>
        </w:rPr>
        <w:t xml:space="preserve"> трансфертов</w:t>
      </w:r>
      <w:r>
        <w:rPr>
          <w:sz w:val="28"/>
          <w:szCs w:val="28"/>
        </w:rPr>
        <w:t xml:space="preserve"> на </w:t>
      </w:r>
      <w:r w:rsidRPr="0078033F">
        <w:rPr>
          <w:sz w:val="28"/>
          <w:szCs w:val="28"/>
        </w:rPr>
        <w:t>предоставление грантов в форме субсидий гражданам</w:t>
      </w:r>
      <w:r w:rsidRPr="00F46278">
        <w:rPr>
          <w:sz w:val="28"/>
          <w:szCs w:val="28"/>
        </w:rPr>
        <w:t xml:space="preserve">, ведущим личные подсобные хозяйства, на закладку сада </w:t>
      </w:r>
      <w:proofErr w:type="spellStart"/>
      <w:r w:rsidRPr="00F46278">
        <w:rPr>
          <w:sz w:val="28"/>
          <w:szCs w:val="28"/>
        </w:rPr>
        <w:t>суперинтенсивного</w:t>
      </w:r>
      <w:proofErr w:type="spellEnd"/>
      <w:r w:rsidRPr="00F46278">
        <w:rPr>
          <w:sz w:val="28"/>
          <w:szCs w:val="28"/>
        </w:rPr>
        <w:t xml:space="preserve"> типа</w:t>
      </w:r>
      <w:r>
        <w:rPr>
          <w:sz w:val="28"/>
          <w:szCs w:val="28"/>
        </w:rPr>
        <w:t>;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CD0C55">
        <w:rPr>
          <w:sz w:val="28"/>
          <w:szCs w:val="28"/>
        </w:rPr>
        <w:t xml:space="preserve">- поступление средств от индивидуальных предпринимателей, организаций и физических лиц на реализацию проекта в селе </w:t>
      </w:r>
      <w:proofErr w:type="spellStart"/>
      <w:r w:rsidRPr="00CD0C55">
        <w:rPr>
          <w:sz w:val="28"/>
          <w:szCs w:val="28"/>
        </w:rPr>
        <w:t>Китаевском</w:t>
      </w:r>
      <w:proofErr w:type="spellEnd"/>
      <w:r>
        <w:rPr>
          <w:sz w:val="28"/>
          <w:szCs w:val="28"/>
        </w:rPr>
        <w:t xml:space="preserve"> и в селе </w:t>
      </w:r>
      <w:proofErr w:type="spellStart"/>
      <w:r>
        <w:rPr>
          <w:sz w:val="28"/>
          <w:szCs w:val="28"/>
        </w:rPr>
        <w:t>Падинском</w:t>
      </w:r>
      <w:proofErr w:type="spellEnd"/>
      <w:r w:rsidRPr="00CD0C55">
        <w:rPr>
          <w:sz w:val="28"/>
          <w:szCs w:val="28"/>
        </w:rPr>
        <w:t>;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выделенных бюджетных средств  на повышение заработной платы муниципальных служащих  и работникам муниципальных учреждений и на обеспечение деятельности органов местного самоуправления;</w:t>
      </w:r>
    </w:p>
    <w:p w:rsidR="0041424D" w:rsidRPr="006422A7" w:rsidRDefault="0041424D" w:rsidP="0041424D">
      <w:pPr>
        <w:ind w:firstLine="709"/>
        <w:jc w:val="both"/>
        <w:rPr>
          <w:rFonts w:eastAsia="Calibri"/>
          <w:sz w:val="28"/>
          <w:szCs w:val="28"/>
        </w:rPr>
      </w:pPr>
      <w:r w:rsidRPr="009C5013">
        <w:rPr>
          <w:sz w:val="28"/>
          <w:szCs w:val="28"/>
        </w:rPr>
        <w:t xml:space="preserve">- перераспределения бюджетных ассигнований средств местного бюджета между </w:t>
      </w:r>
      <w:proofErr w:type="spellStart"/>
      <w:r>
        <w:rPr>
          <w:rFonts w:eastAsia="Calibri"/>
          <w:sz w:val="28"/>
          <w:szCs w:val="28"/>
        </w:rPr>
        <w:t>непрограммными</w:t>
      </w:r>
      <w:proofErr w:type="spellEnd"/>
      <w:r>
        <w:rPr>
          <w:rFonts w:eastAsia="Calibri"/>
          <w:sz w:val="28"/>
          <w:szCs w:val="28"/>
        </w:rPr>
        <w:t xml:space="preserve"> и программными мероприятиями.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5A0255">
        <w:rPr>
          <w:sz w:val="28"/>
          <w:szCs w:val="28"/>
        </w:rPr>
        <w:t xml:space="preserve">Кассовое исполнение на отчетную дату составляет  </w:t>
      </w:r>
      <w:r>
        <w:rPr>
          <w:sz w:val="28"/>
          <w:szCs w:val="28"/>
        </w:rPr>
        <w:t>506 219,22</w:t>
      </w:r>
      <w:r w:rsidRPr="005A0255">
        <w:rPr>
          <w:sz w:val="28"/>
          <w:szCs w:val="28"/>
        </w:rPr>
        <w:t xml:space="preserve"> тыс. рублей,  или </w:t>
      </w:r>
      <w:r>
        <w:rPr>
          <w:sz w:val="28"/>
          <w:szCs w:val="28"/>
        </w:rPr>
        <w:t>89,23</w:t>
      </w:r>
      <w:r w:rsidRPr="005A0255">
        <w:rPr>
          <w:sz w:val="28"/>
          <w:szCs w:val="28"/>
        </w:rPr>
        <w:t>% к уточненному годовому плану.</w:t>
      </w:r>
    </w:p>
    <w:p w:rsidR="0041424D" w:rsidRDefault="0041424D" w:rsidP="0041424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отчетном периоде основным исполнителем программы – администрацией НМО СК – освоено 202 525,90 тыс. рублей </w:t>
      </w:r>
      <w:r w:rsidRPr="00877BF8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следующие мероприятия: </w:t>
      </w:r>
      <w:r w:rsidRPr="005E1C99">
        <w:rPr>
          <w:rFonts w:eastAsia="Calibri"/>
          <w:sz w:val="28"/>
          <w:szCs w:val="28"/>
        </w:rPr>
        <w:t>борьб</w:t>
      </w:r>
      <w:r>
        <w:rPr>
          <w:rFonts w:eastAsia="Calibri"/>
          <w:sz w:val="28"/>
          <w:szCs w:val="28"/>
        </w:rPr>
        <w:t>а</w:t>
      </w:r>
      <w:r w:rsidRPr="005E1C99">
        <w:rPr>
          <w:rFonts w:eastAsia="Calibri"/>
          <w:sz w:val="28"/>
          <w:szCs w:val="28"/>
        </w:rPr>
        <w:t xml:space="preserve"> с иксодовыми </w:t>
      </w:r>
      <w:proofErr w:type="spellStart"/>
      <w:r w:rsidRPr="005E1C99">
        <w:rPr>
          <w:rFonts w:eastAsia="Calibri"/>
          <w:sz w:val="28"/>
          <w:szCs w:val="28"/>
        </w:rPr>
        <w:t>клещами-переносчикамиКГЛ</w:t>
      </w:r>
      <w:proofErr w:type="spellEnd"/>
      <w:r w:rsidRPr="005E1C99">
        <w:rPr>
          <w:rFonts w:eastAsia="Calibri"/>
          <w:sz w:val="28"/>
          <w:szCs w:val="28"/>
        </w:rPr>
        <w:t xml:space="preserve">; осуществление управленческих функций по реализации отдельных </w:t>
      </w:r>
      <w:r w:rsidRPr="005E1C99">
        <w:rPr>
          <w:rFonts w:eastAsia="Calibri"/>
          <w:sz w:val="28"/>
          <w:szCs w:val="28"/>
        </w:rPr>
        <w:lastRenderedPageBreak/>
        <w:t xml:space="preserve">государственных полномочий в области сельского хозяйства; пропаганда и популяризация предпринимательской деятельности; проведение учебы и организация прохождения курсов муниципальных служащих; совершенствование и развитие комплексной системы благоустройства, </w:t>
      </w:r>
      <w:proofErr w:type="spellStart"/>
      <w:r w:rsidRPr="005E1C99">
        <w:rPr>
          <w:rFonts w:eastAsia="Calibri"/>
          <w:sz w:val="28"/>
          <w:szCs w:val="28"/>
        </w:rPr>
        <w:t>жилищно</w:t>
      </w:r>
      <w:proofErr w:type="spellEnd"/>
      <w:r w:rsidRPr="005E1C99">
        <w:rPr>
          <w:rFonts w:eastAsia="Calibri"/>
          <w:sz w:val="28"/>
          <w:szCs w:val="28"/>
        </w:rPr>
        <w:t xml:space="preserve"> - коммунального хозяйства;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5E1C99">
        <w:rPr>
          <w:rFonts w:eastAsia="Calibri"/>
          <w:sz w:val="28"/>
          <w:szCs w:val="28"/>
        </w:rPr>
        <w:t>осуществление деятельности по обращению с животными без владельцев; профилактика безнадзорности и правонарушений; обеспечение деятельности по опеке и попечительству в отношении граждан, признанных судом недееспособными; осуществление мероприятий по формированию и обеспечению сохранности архивного фонда; организация и проведение официальных физкультурных мероприятий, спортивных мероприятий, турниров и первенств по видам спорта, смотров-конкурсов;  развитие системы образования детей и подростков в области физической культуры и спорта и центров спортивной подготовки; социальные выплаты на приобретение жилья молодым семьям и др.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Соисполнителями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ерриториальными  отделами в рамках программы освоено303 670,22 тыс. рублей на р</w:t>
      </w:r>
      <w:r w:rsidRPr="00F833FF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F833FF">
        <w:rPr>
          <w:sz w:val="28"/>
          <w:szCs w:val="28"/>
        </w:rPr>
        <w:t xml:space="preserve"> дорожного фон</w:t>
      </w:r>
      <w:r>
        <w:rPr>
          <w:sz w:val="28"/>
          <w:szCs w:val="28"/>
        </w:rPr>
        <w:t>да, с</w:t>
      </w:r>
      <w:r w:rsidRPr="00F833FF">
        <w:rPr>
          <w:sz w:val="28"/>
          <w:szCs w:val="28"/>
        </w:rPr>
        <w:t xml:space="preserve">овершенствование и развитие комплексной системы благоустройства, </w:t>
      </w:r>
      <w:proofErr w:type="spellStart"/>
      <w:r w:rsidRPr="00F833FF">
        <w:rPr>
          <w:sz w:val="28"/>
          <w:szCs w:val="28"/>
        </w:rPr>
        <w:t>жилищно</w:t>
      </w:r>
      <w:proofErr w:type="spellEnd"/>
      <w:r w:rsidRPr="00F833FF">
        <w:rPr>
          <w:sz w:val="28"/>
          <w:szCs w:val="28"/>
        </w:rPr>
        <w:t xml:space="preserve"> - коммунального хозяйств</w:t>
      </w:r>
      <w:r>
        <w:rPr>
          <w:sz w:val="28"/>
          <w:szCs w:val="28"/>
        </w:rPr>
        <w:t xml:space="preserve">а, отделом культуры освоено 23,10 тыс. рублей на мероприятия в области энергосбережения. </w:t>
      </w:r>
    </w:p>
    <w:p w:rsidR="0041424D" w:rsidRPr="004053F5" w:rsidRDefault="0041424D" w:rsidP="0041424D">
      <w:pPr>
        <w:ind w:firstLine="709"/>
        <w:jc w:val="both"/>
        <w:rPr>
          <w:sz w:val="28"/>
          <w:szCs w:val="28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22217C">
        <w:rPr>
          <w:b/>
          <w:sz w:val="28"/>
          <w:szCs w:val="28"/>
        </w:rPr>
        <w:t>Муниципальная программа «Развитие образования в Новоселицком муниципальном округе Ставропольского края»</w:t>
      </w:r>
    </w:p>
    <w:p w:rsidR="0041424D" w:rsidRPr="0022217C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22217C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>по состоянию на 01.01</w:t>
      </w:r>
      <w:r w:rsidRPr="004E3DB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E3DBE">
        <w:rPr>
          <w:sz w:val="28"/>
          <w:szCs w:val="28"/>
        </w:rPr>
        <w:t xml:space="preserve"> г. </w:t>
      </w:r>
      <w:r w:rsidRPr="0022217C">
        <w:rPr>
          <w:sz w:val="28"/>
          <w:szCs w:val="28"/>
        </w:rPr>
        <w:t>на реализацию данной программы состав</w:t>
      </w:r>
      <w:r>
        <w:rPr>
          <w:sz w:val="28"/>
          <w:szCs w:val="28"/>
        </w:rPr>
        <w:t>ил573 483,60</w:t>
      </w:r>
      <w:r w:rsidRPr="0022217C">
        <w:rPr>
          <w:sz w:val="28"/>
          <w:szCs w:val="28"/>
        </w:rPr>
        <w:t xml:space="preserve"> тыс. рублей, что превышает первоначально утвержденный план на </w:t>
      </w:r>
      <w:r>
        <w:rPr>
          <w:sz w:val="28"/>
          <w:szCs w:val="28"/>
        </w:rPr>
        <w:t xml:space="preserve">63 961,18 тыс. рублей. </w:t>
      </w:r>
      <w:r w:rsidRPr="00645070">
        <w:rPr>
          <w:sz w:val="28"/>
          <w:szCs w:val="28"/>
        </w:rPr>
        <w:t>Изменения произошли за счет:</w:t>
      </w:r>
    </w:p>
    <w:p w:rsidR="0041424D" w:rsidRDefault="0041424D" w:rsidP="0041424D">
      <w:pPr>
        <w:spacing w:after="120"/>
        <w:ind w:firstLine="99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4</w:t>
      </w:r>
      <w:r w:rsidRPr="005822E1">
        <w:rPr>
          <w:sz w:val="28"/>
          <w:szCs w:val="28"/>
        </w:rPr>
        <w:t xml:space="preserve"> года на следующие мероприятия</w:t>
      </w:r>
      <w:r>
        <w:rPr>
          <w:sz w:val="28"/>
          <w:szCs w:val="28"/>
        </w:rPr>
        <w:t xml:space="preserve">: </w:t>
      </w:r>
      <w:r w:rsidRPr="005822E1">
        <w:rPr>
          <w:sz w:val="28"/>
          <w:szCs w:val="28"/>
        </w:rPr>
        <w:t>приобретение, содержание и ремонт имущества муниципальных учреждений</w:t>
      </w:r>
      <w:r>
        <w:rPr>
          <w:sz w:val="28"/>
          <w:szCs w:val="28"/>
        </w:rPr>
        <w:t xml:space="preserve">, на </w:t>
      </w:r>
      <w:r w:rsidRPr="005822E1">
        <w:rPr>
          <w:sz w:val="28"/>
          <w:szCs w:val="28"/>
        </w:rPr>
        <w:t xml:space="preserve"> повы</w:t>
      </w:r>
      <w:r>
        <w:rPr>
          <w:sz w:val="28"/>
          <w:szCs w:val="28"/>
        </w:rPr>
        <w:t>шение уровня пожарной безопасно</w:t>
      </w:r>
      <w:r w:rsidRPr="005822E1">
        <w:rPr>
          <w:sz w:val="28"/>
          <w:szCs w:val="28"/>
        </w:rPr>
        <w:t>сти</w:t>
      </w:r>
      <w:r w:rsidRPr="008239B8">
        <w:rPr>
          <w:sz w:val="28"/>
          <w:szCs w:val="28"/>
        </w:rPr>
        <w:t>, на персонифицированное финансирование дополнительного образования детей</w:t>
      </w:r>
      <w:r w:rsidRPr="00C56AA0">
        <w:rPr>
          <w:sz w:val="28"/>
          <w:szCs w:val="28"/>
        </w:rPr>
        <w:t xml:space="preserve">, обеспечение деятельности муниципальных учреждений и отдела образования, </w:t>
      </w:r>
      <w:r>
        <w:rPr>
          <w:sz w:val="28"/>
          <w:szCs w:val="28"/>
        </w:rPr>
        <w:t>на</w:t>
      </w:r>
      <w:r w:rsidRPr="00C56AA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C56AA0">
        <w:rPr>
          <w:sz w:val="28"/>
          <w:szCs w:val="28"/>
        </w:rPr>
        <w:t xml:space="preserve"> оздоровительной кампании дет</w:t>
      </w:r>
      <w:r>
        <w:rPr>
          <w:sz w:val="28"/>
          <w:szCs w:val="28"/>
        </w:rPr>
        <w:t xml:space="preserve">ей в </w:t>
      </w:r>
      <w:r w:rsidRPr="00C56AA0">
        <w:rPr>
          <w:sz w:val="28"/>
          <w:szCs w:val="28"/>
        </w:rPr>
        <w:t>лагер</w:t>
      </w:r>
      <w:r>
        <w:rPr>
          <w:sz w:val="28"/>
          <w:szCs w:val="28"/>
        </w:rPr>
        <w:t>е "Патриот"</w:t>
      </w:r>
      <w:r w:rsidRPr="00C56AA0">
        <w:rPr>
          <w:sz w:val="28"/>
          <w:szCs w:val="28"/>
        </w:rPr>
        <w:t xml:space="preserve">, приобретение путевок, </w:t>
      </w:r>
      <w:r>
        <w:rPr>
          <w:sz w:val="28"/>
          <w:szCs w:val="28"/>
        </w:rPr>
        <w:t xml:space="preserve">на премирование физических лиц </w:t>
      </w:r>
      <w:r w:rsidRPr="00C56AA0">
        <w:rPr>
          <w:sz w:val="28"/>
          <w:szCs w:val="28"/>
        </w:rPr>
        <w:t xml:space="preserve">в области образования </w:t>
      </w:r>
      <w:r>
        <w:rPr>
          <w:sz w:val="28"/>
          <w:szCs w:val="28"/>
        </w:rPr>
        <w:t>и др</w:t>
      </w:r>
      <w:r w:rsidRPr="008239B8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41424D" w:rsidRDefault="0041424D" w:rsidP="0041424D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C5B">
        <w:rPr>
          <w:sz w:val="28"/>
          <w:szCs w:val="28"/>
        </w:rPr>
        <w:t>выделения  межбюджетных трансфертов на организацию и осуществление деятельности</w:t>
      </w:r>
      <w:r w:rsidRPr="0078033F">
        <w:rPr>
          <w:sz w:val="28"/>
          <w:szCs w:val="28"/>
        </w:rPr>
        <w:t xml:space="preserve"> по опеке и попечительству</w:t>
      </w:r>
      <w:r>
        <w:rPr>
          <w:sz w:val="28"/>
          <w:szCs w:val="28"/>
        </w:rPr>
        <w:t xml:space="preserve">, на  </w:t>
      </w:r>
      <w:r w:rsidRPr="0078033F">
        <w:rPr>
          <w:sz w:val="28"/>
          <w:szCs w:val="28"/>
        </w:rPr>
        <w:t>госгарантии на дошкольное</w:t>
      </w:r>
      <w:r>
        <w:rPr>
          <w:sz w:val="28"/>
          <w:szCs w:val="28"/>
        </w:rPr>
        <w:t xml:space="preserve"> и общее</w:t>
      </w:r>
      <w:r w:rsidRPr="0078033F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, на </w:t>
      </w:r>
      <w:r w:rsidRPr="0078033F">
        <w:rPr>
          <w:sz w:val="28"/>
          <w:szCs w:val="28"/>
        </w:rPr>
        <w:t>проведение мероприятий по обеспечению деятельности советников директора по воспитанию</w:t>
      </w:r>
      <w:r>
        <w:rPr>
          <w:sz w:val="28"/>
          <w:szCs w:val="28"/>
        </w:rPr>
        <w:t xml:space="preserve">, </w:t>
      </w:r>
      <w:r w:rsidRPr="00073198">
        <w:rPr>
          <w:sz w:val="28"/>
          <w:szCs w:val="28"/>
        </w:rPr>
        <w:t xml:space="preserve">на организацию и обеспечение отдыха и оздоровления </w:t>
      </w:r>
      <w:r w:rsidRPr="008C4826">
        <w:rPr>
          <w:sz w:val="28"/>
          <w:szCs w:val="28"/>
        </w:rPr>
        <w:t>детей</w:t>
      </w:r>
      <w:r>
        <w:rPr>
          <w:sz w:val="28"/>
          <w:szCs w:val="28"/>
        </w:rPr>
        <w:t xml:space="preserve">; </w:t>
      </w:r>
    </w:p>
    <w:p w:rsidR="0041424D" w:rsidRDefault="0041424D" w:rsidP="0041424D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41">
        <w:rPr>
          <w:sz w:val="28"/>
          <w:szCs w:val="28"/>
        </w:rPr>
        <w:t>уменьшения  плановых годовых назначений в части предоставления межбюджетных</w:t>
      </w:r>
      <w:r w:rsidRPr="00263031">
        <w:rPr>
          <w:sz w:val="28"/>
          <w:szCs w:val="28"/>
        </w:rPr>
        <w:t xml:space="preserve"> трансфертов</w:t>
      </w:r>
      <w:r w:rsidRPr="0078033F">
        <w:rPr>
          <w:sz w:val="28"/>
          <w:szCs w:val="28"/>
        </w:rPr>
        <w:t xml:space="preserve"> на вознаграждение за классное руководство</w:t>
      </w:r>
      <w:r>
        <w:rPr>
          <w:sz w:val="28"/>
          <w:szCs w:val="28"/>
        </w:rPr>
        <w:t>;</w:t>
      </w:r>
    </w:p>
    <w:p w:rsidR="0041424D" w:rsidRDefault="0041424D" w:rsidP="0041424D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дополнительно выделенных бюджетных средств  на повышение заработной платы муниципальных служащих  и работникам муниципальных учреждений.</w:t>
      </w:r>
    </w:p>
    <w:p w:rsidR="0041424D" w:rsidRPr="0022217C" w:rsidRDefault="0041424D" w:rsidP="0041424D">
      <w:pPr>
        <w:spacing w:after="120"/>
        <w:ind w:firstLine="991"/>
        <w:contextualSpacing/>
        <w:jc w:val="both"/>
        <w:rPr>
          <w:sz w:val="28"/>
          <w:szCs w:val="28"/>
        </w:rPr>
      </w:pPr>
      <w:r w:rsidRPr="008101E0">
        <w:rPr>
          <w:sz w:val="28"/>
          <w:szCs w:val="28"/>
        </w:rPr>
        <w:t xml:space="preserve">Кассовое исполнение на отчетную дату составляет </w:t>
      </w:r>
      <w:r>
        <w:rPr>
          <w:sz w:val="28"/>
          <w:szCs w:val="28"/>
        </w:rPr>
        <w:t>566 599,46</w:t>
      </w:r>
      <w:r w:rsidRPr="008101E0">
        <w:rPr>
          <w:sz w:val="28"/>
          <w:szCs w:val="28"/>
        </w:rPr>
        <w:t xml:space="preserve"> тыс. рублей, или  </w:t>
      </w:r>
      <w:r>
        <w:rPr>
          <w:sz w:val="28"/>
          <w:szCs w:val="28"/>
        </w:rPr>
        <w:t>98,80</w:t>
      </w:r>
      <w:r w:rsidRPr="008101E0">
        <w:rPr>
          <w:sz w:val="28"/>
          <w:szCs w:val="28"/>
        </w:rPr>
        <w:t>% к уточненному годовому</w:t>
      </w:r>
      <w:r w:rsidRPr="0022217C">
        <w:rPr>
          <w:sz w:val="28"/>
          <w:szCs w:val="28"/>
        </w:rPr>
        <w:t xml:space="preserve"> плану. 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программы – </w:t>
      </w:r>
      <w:r w:rsidRPr="0022217C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22217C">
        <w:rPr>
          <w:sz w:val="28"/>
          <w:szCs w:val="28"/>
        </w:rPr>
        <w:t xml:space="preserve"> образования АНМО</w:t>
      </w:r>
      <w:r>
        <w:rPr>
          <w:sz w:val="28"/>
          <w:szCs w:val="28"/>
        </w:rPr>
        <w:t xml:space="preserve"> СК – освоено 552 118,23 тыс. рублей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ограммы, соисполнителями -  </w:t>
      </w:r>
      <w:r w:rsidRPr="0022217C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22217C">
        <w:rPr>
          <w:sz w:val="28"/>
          <w:szCs w:val="28"/>
        </w:rPr>
        <w:t xml:space="preserve"> культуры АНМО</w:t>
      </w:r>
      <w:r>
        <w:rPr>
          <w:sz w:val="28"/>
          <w:szCs w:val="28"/>
        </w:rPr>
        <w:t xml:space="preserve"> СК освоено 14 339,93 тыс. рублей, администрацией НМО СК освоено 141,30 тыс. рублей. </w:t>
      </w:r>
      <w:proofErr w:type="gramStart"/>
      <w:r w:rsidRPr="0022217C">
        <w:rPr>
          <w:sz w:val="28"/>
          <w:szCs w:val="28"/>
        </w:rPr>
        <w:t xml:space="preserve">В рамках данной программы осуществляются </w:t>
      </w:r>
      <w:r w:rsidRPr="00D036BA">
        <w:rPr>
          <w:sz w:val="28"/>
          <w:szCs w:val="28"/>
        </w:rPr>
        <w:t>расходы на дошкольное, общее и дополнительное образование, на проведение мероприятий в области пожарной безопасности, охрану объектов и имущества муниципальных учреждений,</w:t>
      </w:r>
      <w:r>
        <w:rPr>
          <w:sz w:val="28"/>
          <w:szCs w:val="28"/>
        </w:rPr>
        <w:t xml:space="preserve"> </w:t>
      </w:r>
      <w:r w:rsidRPr="00D036BA">
        <w:rPr>
          <w:sz w:val="28"/>
          <w:szCs w:val="28"/>
        </w:rPr>
        <w:t>обеспечение бесплатным горячим питанием обучающихся,</w:t>
      </w:r>
      <w:r>
        <w:rPr>
          <w:sz w:val="28"/>
          <w:szCs w:val="28"/>
        </w:rPr>
        <w:t xml:space="preserve"> </w:t>
      </w:r>
      <w:r w:rsidRPr="00D036BA">
        <w:rPr>
          <w:sz w:val="28"/>
          <w:szCs w:val="28"/>
        </w:rPr>
        <w:t>выплату вознаграждения за классное руководство педагогическим работникам,</w:t>
      </w:r>
      <w:r>
        <w:rPr>
          <w:sz w:val="28"/>
          <w:szCs w:val="28"/>
        </w:rPr>
        <w:t xml:space="preserve"> </w:t>
      </w:r>
      <w:r w:rsidRPr="00D036BA">
        <w:rPr>
          <w:sz w:val="28"/>
          <w:szCs w:val="28"/>
        </w:rPr>
        <w:t>социальную поддержка детей - сирот и детей, оставшихся без попечения родителей,</w:t>
      </w:r>
      <w:r>
        <w:rPr>
          <w:sz w:val="28"/>
          <w:szCs w:val="28"/>
        </w:rPr>
        <w:t xml:space="preserve"> </w:t>
      </w:r>
      <w:r w:rsidRPr="00D036BA">
        <w:rPr>
          <w:sz w:val="28"/>
          <w:szCs w:val="28"/>
        </w:rPr>
        <w:t>социальные выплаты в области образования.</w:t>
      </w:r>
      <w:proofErr w:type="gramEnd"/>
    </w:p>
    <w:p w:rsidR="0041424D" w:rsidRPr="0022217C" w:rsidRDefault="0041424D" w:rsidP="0041424D">
      <w:pPr>
        <w:ind w:firstLine="709"/>
        <w:jc w:val="both"/>
        <w:rPr>
          <w:sz w:val="28"/>
          <w:szCs w:val="28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2E6A13">
        <w:rPr>
          <w:b/>
          <w:sz w:val="28"/>
          <w:szCs w:val="28"/>
        </w:rPr>
        <w:t>Муниципальная программа «</w:t>
      </w:r>
      <w:r w:rsidRPr="002E6A13">
        <w:rPr>
          <w:b/>
          <w:color w:val="000000"/>
          <w:sz w:val="28"/>
          <w:szCs w:val="28"/>
        </w:rPr>
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</w:t>
      </w:r>
      <w:r>
        <w:rPr>
          <w:b/>
          <w:sz w:val="28"/>
          <w:szCs w:val="28"/>
        </w:rPr>
        <w:t>»</w:t>
      </w:r>
    </w:p>
    <w:p w:rsidR="0041424D" w:rsidRPr="00B56E2E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Pr="00494BE7" w:rsidRDefault="0041424D" w:rsidP="0041424D">
      <w:pPr>
        <w:ind w:firstLine="709"/>
        <w:jc w:val="both"/>
        <w:rPr>
          <w:sz w:val="28"/>
          <w:szCs w:val="28"/>
        </w:rPr>
      </w:pPr>
      <w:r w:rsidRPr="002E6A13">
        <w:rPr>
          <w:sz w:val="28"/>
          <w:szCs w:val="28"/>
        </w:rPr>
        <w:t>Объем бюджетных ассигнований на реализацию мероприятий по состоянию на 01.</w:t>
      </w:r>
      <w:r>
        <w:rPr>
          <w:sz w:val="28"/>
          <w:szCs w:val="28"/>
        </w:rPr>
        <w:t>01</w:t>
      </w:r>
      <w:r w:rsidRPr="002E6A1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E6A13">
        <w:rPr>
          <w:sz w:val="28"/>
          <w:szCs w:val="28"/>
        </w:rPr>
        <w:t>г</w:t>
      </w:r>
      <w:r>
        <w:rPr>
          <w:sz w:val="28"/>
          <w:szCs w:val="28"/>
        </w:rPr>
        <w:t xml:space="preserve">. составил8 951,72 тыс. рублей, что </w:t>
      </w:r>
      <w:r w:rsidRPr="00884D07">
        <w:rPr>
          <w:sz w:val="28"/>
          <w:szCs w:val="28"/>
        </w:rPr>
        <w:t>больше первоначального плана на</w:t>
      </w:r>
      <w:r>
        <w:rPr>
          <w:sz w:val="28"/>
          <w:szCs w:val="28"/>
        </w:rPr>
        <w:t xml:space="preserve"> 441,46за счет дополнительно выделенных бюджетных средств  на повышение заработной платы работникам МБУ "МФЦ"</w:t>
      </w:r>
      <w:r w:rsidRPr="00494BE7">
        <w:rPr>
          <w:sz w:val="28"/>
          <w:szCs w:val="28"/>
        </w:rPr>
        <w:t>.</w:t>
      </w:r>
    </w:p>
    <w:p w:rsidR="0041424D" w:rsidRPr="002E6A13" w:rsidRDefault="0041424D" w:rsidP="0041424D">
      <w:pPr>
        <w:ind w:firstLine="709"/>
        <w:jc w:val="both"/>
        <w:rPr>
          <w:sz w:val="28"/>
          <w:szCs w:val="28"/>
        </w:rPr>
      </w:pPr>
      <w:r w:rsidRPr="00494BE7">
        <w:rPr>
          <w:sz w:val="28"/>
          <w:szCs w:val="28"/>
        </w:rPr>
        <w:t>Исполнитель программы – МБУ НМО СК</w:t>
      </w:r>
      <w:r>
        <w:rPr>
          <w:sz w:val="28"/>
          <w:szCs w:val="28"/>
        </w:rPr>
        <w:t xml:space="preserve"> "МФЦ" – освоил за 9 месяцев8 951,72</w:t>
      </w:r>
      <w:r w:rsidRPr="008101E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100% от запланированных средств. Р</w:t>
      </w:r>
      <w:r w:rsidRPr="002E6A13">
        <w:rPr>
          <w:sz w:val="28"/>
          <w:szCs w:val="28"/>
        </w:rPr>
        <w:t>асходы направл</w:t>
      </w:r>
      <w:r>
        <w:rPr>
          <w:sz w:val="28"/>
          <w:szCs w:val="28"/>
        </w:rPr>
        <w:t>ены</w:t>
      </w:r>
      <w:r w:rsidRPr="002E6A13">
        <w:rPr>
          <w:sz w:val="28"/>
          <w:szCs w:val="28"/>
        </w:rPr>
        <w:t xml:space="preserve"> на организацию предоставления государственных и муниципальных услуг.</w:t>
      </w:r>
    </w:p>
    <w:p w:rsidR="0041424D" w:rsidRPr="002E6A13" w:rsidRDefault="0041424D" w:rsidP="0041424D">
      <w:pPr>
        <w:ind w:firstLine="708"/>
        <w:jc w:val="both"/>
        <w:rPr>
          <w:sz w:val="28"/>
          <w:szCs w:val="28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2E6A13">
        <w:rPr>
          <w:b/>
          <w:sz w:val="28"/>
          <w:szCs w:val="28"/>
        </w:rPr>
        <w:t>Муниципальная программа «Социальная поддержка граждан в Новоселицком муниципальном округе Ставропольского края»</w:t>
      </w:r>
    </w:p>
    <w:p w:rsidR="0041424D" w:rsidRPr="00B56E2E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Pr="009C089C" w:rsidRDefault="0041424D" w:rsidP="0041424D">
      <w:pPr>
        <w:autoSpaceDE w:val="0"/>
        <w:autoSpaceDN w:val="0"/>
        <w:adjustRightInd w:val="0"/>
        <w:ind w:firstLine="540"/>
        <w:jc w:val="both"/>
        <w:outlineLvl w:val="4"/>
      </w:pPr>
      <w:r w:rsidRPr="00884D07">
        <w:rPr>
          <w:sz w:val="28"/>
          <w:szCs w:val="28"/>
        </w:rPr>
        <w:t>Объем бюджетных ассигнований</w:t>
      </w:r>
      <w:r>
        <w:rPr>
          <w:sz w:val="28"/>
          <w:szCs w:val="28"/>
        </w:rPr>
        <w:t xml:space="preserve"> на реализацию программы на 01.01</w:t>
      </w:r>
      <w:r w:rsidRPr="00884D0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84D07">
        <w:rPr>
          <w:sz w:val="28"/>
          <w:szCs w:val="28"/>
        </w:rPr>
        <w:t xml:space="preserve">г. составил </w:t>
      </w:r>
      <w:r>
        <w:rPr>
          <w:sz w:val="28"/>
          <w:szCs w:val="28"/>
        </w:rPr>
        <w:t>125 308,58</w:t>
      </w:r>
      <w:r w:rsidRPr="00884D07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меньше</w:t>
      </w:r>
      <w:r w:rsidRPr="00884D07">
        <w:rPr>
          <w:sz w:val="28"/>
          <w:szCs w:val="28"/>
        </w:rPr>
        <w:t xml:space="preserve"> первоначального плана на </w:t>
      </w:r>
      <w:r>
        <w:rPr>
          <w:sz w:val="28"/>
          <w:szCs w:val="28"/>
        </w:rPr>
        <w:t>4 708,45</w:t>
      </w:r>
      <w:r w:rsidRPr="00884D0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884D07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уменьшения  плановых годовых назначений в части предоставления межбюджетных трансфертов на </w:t>
      </w:r>
      <w:r w:rsidRPr="009C089C">
        <w:rPr>
          <w:sz w:val="28"/>
          <w:szCs w:val="28"/>
        </w:rPr>
        <w:t xml:space="preserve">оказание социальной помощи населению Новоселицкого муниципального округа. </w:t>
      </w:r>
    </w:p>
    <w:p w:rsidR="0041424D" w:rsidRPr="008101E0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9C089C">
        <w:rPr>
          <w:sz w:val="28"/>
          <w:szCs w:val="28"/>
        </w:rPr>
        <w:t>Исполнитель программы – управление</w:t>
      </w:r>
      <w:r>
        <w:rPr>
          <w:sz w:val="28"/>
          <w:szCs w:val="28"/>
        </w:rPr>
        <w:t xml:space="preserve"> труда и социальной защиты населения </w:t>
      </w:r>
      <w:r w:rsidRPr="0022217C">
        <w:rPr>
          <w:sz w:val="28"/>
          <w:szCs w:val="28"/>
        </w:rPr>
        <w:t xml:space="preserve"> АНМО</w:t>
      </w:r>
      <w:r>
        <w:rPr>
          <w:sz w:val="28"/>
          <w:szCs w:val="28"/>
        </w:rPr>
        <w:t xml:space="preserve"> СК – освоил 124 981,08</w:t>
      </w:r>
      <w:r w:rsidRPr="008101E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99,74% от запланированных средств. Р</w:t>
      </w:r>
      <w:r w:rsidRPr="002E6A13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осуществлялись </w:t>
      </w:r>
      <w:r w:rsidRPr="002E6A13">
        <w:rPr>
          <w:sz w:val="28"/>
          <w:szCs w:val="28"/>
        </w:rPr>
        <w:t xml:space="preserve">на социальное </w:t>
      </w:r>
      <w:r w:rsidRPr="002E6A13">
        <w:rPr>
          <w:sz w:val="28"/>
          <w:szCs w:val="28"/>
        </w:rPr>
        <w:lastRenderedPageBreak/>
        <w:t xml:space="preserve">обеспечение населения, на </w:t>
      </w:r>
      <w:r>
        <w:rPr>
          <w:sz w:val="28"/>
          <w:szCs w:val="28"/>
        </w:rPr>
        <w:t>управленческие функции</w:t>
      </w:r>
      <w:r w:rsidRPr="002E6A13">
        <w:rPr>
          <w:sz w:val="28"/>
          <w:szCs w:val="28"/>
        </w:rPr>
        <w:t xml:space="preserve"> в области труда и социальной защиты отдельных категорий граждан.</w:t>
      </w:r>
    </w:p>
    <w:p w:rsidR="0041424D" w:rsidRPr="008101E0" w:rsidRDefault="0041424D" w:rsidP="0041424D">
      <w:pPr>
        <w:jc w:val="both"/>
        <w:rPr>
          <w:sz w:val="28"/>
          <w:szCs w:val="28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DB63C4">
        <w:rPr>
          <w:b/>
          <w:sz w:val="28"/>
          <w:szCs w:val="28"/>
        </w:rPr>
        <w:t>Муниципальная программа «Управление финансами Новоселицкого муниципального округа Ставропольского края»</w:t>
      </w:r>
    </w:p>
    <w:p w:rsidR="0041424D" w:rsidRPr="00B56E2E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DB63C4">
        <w:rPr>
          <w:sz w:val="28"/>
          <w:szCs w:val="28"/>
        </w:rPr>
        <w:t xml:space="preserve">Объем бюджетных </w:t>
      </w:r>
      <w:r w:rsidRPr="00F63C79">
        <w:rPr>
          <w:sz w:val="28"/>
          <w:szCs w:val="28"/>
        </w:rPr>
        <w:t>ассигнований на реализацию программы по состоянию на 01.</w:t>
      </w:r>
      <w:r>
        <w:rPr>
          <w:sz w:val="28"/>
          <w:szCs w:val="28"/>
        </w:rPr>
        <w:t>01</w:t>
      </w:r>
      <w:r w:rsidRPr="00F63C79">
        <w:rPr>
          <w:sz w:val="28"/>
          <w:szCs w:val="28"/>
        </w:rPr>
        <w:t>.202</w:t>
      </w:r>
      <w:r>
        <w:rPr>
          <w:sz w:val="28"/>
          <w:szCs w:val="28"/>
        </w:rPr>
        <w:t>54</w:t>
      </w:r>
      <w:r w:rsidRPr="00F63C79">
        <w:rPr>
          <w:sz w:val="28"/>
          <w:szCs w:val="28"/>
        </w:rPr>
        <w:t xml:space="preserve"> г. </w:t>
      </w:r>
      <w:r w:rsidRPr="002E6A13">
        <w:rPr>
          <w:sz w:val="28"/>
          <w:szCs w:val="28"/>
        </w:rPr>
        <w:t>состав</w:t>
      </w:r>
      <w:r>
        <w:rPr>
          <w:sz w:val="28"/>
          <w:szCs w:val="28"/>
        </w:rPr>
        <w:t>ил37 253,51</w:t>
      </w:r>
      <w:r w:rsidRPr="009C089C">
        <w:rPr>
          <w:sz w:val="28"/>
          <w:szCs w:val="28"/>
        </w:rPr>
        <w:t xml:space="preserve">тыс. рублей, что больше первоначального плана на </w:t>
      </w:r>
      <w:r>
        <w:rPr>
          <w:sz w:val="28"/>
          <w:szCs w:val="28"/>
        </w:rPr>
        <w:t>3 072,69</w:t>
      </w:r>
      <w:r w:rsidRPr="009C08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9C089C">
        <w:rPr>
          <w:sz w:val="28"/>
          <w:szCs w:val="28"/>
        </w:rPr>
        <w:t>за счет</w:t>
      </w:r>
      <w:r>
        <w:rPr>
          <w:sz w:val="28"/>
          <w:szCs w:val="28"/>
        </w:rPr>
        <w:t>:</w:t>
      </w:r>
    </w:p>
    <w:p w:rsidR="0041424D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-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4</w:t>
      </w:r>
      <w:r w:rsidRPr="005822E1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обеспечение </w:t>
      </w:r>
      <w:r w:rsidRPr="009A0E6B">
        <w:rPr>
          <w:sz w:val="28"/>
          <w:szCs w:val="28"/>
        </w:rPr>
        <w:t>деятельности подведомственного учреждения «Централизованная бухгалтерия»</w:t>
      </w:r>
      <w:r>
        <w:rPr>
          <w:sz w:val="28"/>
          <w:szCs w:val="28"/>
        </w:rPr>
        <w:t>;</w:t>
      </w:r>
    </w:p>
    <w:p w:rsidR="0041424D" w:rsidRPr="009A0E6B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-</w:t>
      </w:r>
      <w:r w:rsidRPr="009A0E6B">
        <w:rPr>
          <w:sz w:val="28"/>
          <w:szCs w:val="28"/>
        </w:rPr>
        <w:t>дополнительно выделенных бюджетных средств  на повышение заработной платы муниципальных служащих  и работникам муниципальных учреждений</w:t>
      </w:r>
      <w:r>
        <w:rPr>
          <w:sz w:val="28"/>
          <w:szCs w:val="28"/>
        </w:rPr>
        <w:t>;</w:t>
      </w:r>
    </w:p>
    <w:p w:rsidR="0041424D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E6B">
        <w:rPr>
          <w:sz w:val="28"/>
          <w:szCs w:val="28"/>
        </w:rPr>
        <w:t>перераспределения бюджетных</w:t>
      </w:r>
      <w:r w:rsidRPr="00CE0B4C">
        <w:rPr>
          <w:sz w:val="28"/>
          <w:szCs w:val="28"/>
        </w:rPr>
        <w:t xml:space="preserve"> ассигнований средств местного бюджета между </w:t>
      </w:r>
      <w:proofErr w:type="spellStart"/>
      <w:r w:rsidRPr="00CE0B4C">
        <w:rPr>
          <w:rFonts w:eastAsia="Calibri"/>
          <w:sz w:val="28"/>
          <w:szCs w:val="28"/>
        </w:rPr>
        <w:t>непрограммными</w:t>
      </w:r>
      <w:proofErr w:type="spellEnd"/>
      <w:r w:rsidRPr="00CE0B4C">
        <w:rPr>
          <w:rFonts w:eastAsia="Calibri"/>
          <w:sz w:val="28"/>
          <w:szCs w:val="28"/>
        </w:rPr>
        <w:t xml:space="preserve"> и программными мероприятиями</w:t>
      </w:r>
      <w:r>
        <w:rPr>
          <w:rFonts w:eastAsia="Calibri"/>
          <w:sz w:val="28"/>
          <w:szCs w:val="28"/>
        </w:rPr>
        <w:t>.</w:t>
      </w:r>
    </w:p>
    <w:p w:rsidR="0041424D" w:rsidRPr="00DB63C4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8101E0">
        <w:rPr>
          <w:sz w:val="28"/>
          <w:szCs w:val="28"/>
        </w:rPr>
        <w:t xml:space="preserve">Кассовое исполнение на отчетную дату составляет </w:t>
      </w:r>
      <w:r>
        <w:rPr>
          <w:sz w:val="28"/>
          <w:szCs w:val="28"/>
        </w:rPr>
        <w:t xml:space="preserve">37 192,48 </w:t>
      </w:r>
      <w:r w:rsidRPr="008101E0">
        <w:rPr>
          <w:sz w:val="28"/>
          <w:szCs w:val="28"/>
        </w:rPr>
        <w:t xml:space="preserve"> тыс. рублей, или  </w:t>
      </w:r>
      <w:r>
        <w:rPr>
          <w:sz w:val="28"/>
          <w:szCs w:val="28"/>
        </w:rPr>
        <w:t>99,84</w:t>
      </w:r>
      <w:r w:rsidRPr="008101E0">
        <w:rPr>
          <w:sz w:val="28"/>
          <w:szCs w:val="28"/>
        </w:rPr>
        <w:t>% к годовому</w:t>
      </w:r>
      <w:r w:rsidRPr="0022217C">
        <w:rPr>
          <w:sz w:val="28"/>
          <w:szCs w:val="28"/>
        </w:rPr>
        <w:t xml:space="preserve"> плану</w:t>
      </w:r>
      <w:r>
        <w:rPr>
          <w:sz w:val="28"/>
          <w:szCs w:val="28"/>
        </w:rPr>
        <w:t>.  Р</w:t>
      </w:r>
      <w:r w:rsidRPr="002E6A13">
        <w:rPr>
          <w:sz w:val="28"/>
          <w:szCs w:val="28"/>
        </w:rPr>
        <w:t>асходы направл</w:t>
      </w:r>
      <w:r>
        <w:rPr>
          <w:sz w:val="28"/>
          <w:szCs w:val="28"/>
        </w:rPr>
        <w:t>ены</w:t>
      </w:r>
      <w:r w:rsidRPr="002E6A13">
        <w:rPr>
          <w:sz w:val="28"/>
          <w:szCs w:val="28"/>
        </w:rPr>
        <w:t xml:space="preserve"> на </w:t>
      </w:r>
      <w:r>
        <w:rPr>
          <w:sz w:val="28"/>
          <w:szCs w:val="28"/>
        </w:rPr>
        <w:t>обеспечение деятельности финансового управления АНМОСК и МКУ НМО СК "Централизованная бухгалтерия"</w:t>
      </w:r>
      <w:r w:rsidRPr="00DB63C4">
        <w:rPr>
          <w:sz w:val="28"/>
          <w:szCs w:val="28"/>
        </w:rPr>
        <w:t>.</w:t>
      </w:r>
    </w:p>
    <w:p w:rsidR="0041424D" w:rsidRPr="006D744F" w:rsidRDefault="0041424D" w:rsidP="0041424D">
      <w:pPr>
        <w:jc w:val="both"/>
        <w:rPr>
          <w:sz w:val="28"/>
          <w:szCs w:val="28"/>
          <w:highlight w:val="yellow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FC3B40">
        <w:rPr>
          <w:b/>
          <w:sz w:val="28"/>
          <w:szCs w:val="28"/>
        </w:rPr>
        <w:t>Муниципальная программа «Сохранение и развитие культуры в Новоселицком муниципальном округе СК»</w:t>
      </w:r>
    </w:p>
    <w:p w:rsidR="0041424D" w:rsidRPr="00B56E2E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FC3B40">
        <w:rPr>
          <w:sz w:val="28"/>
          <w:szCs w:val="28"/>
        </w:rPr>
        <w:t>Объем бюджетных ассигнований на реализацию программы по состоянию на 01.</w:t>
      </w:r>
      <w:r>
        <w:rPr>
          <w:sz w:val="28"/>
          <w:szCs w:val="28"/>
        </w:rPr>
        <w:t>01</w:t>
      </w:r>
      <w:r w:rsidRPr="00FC3B4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C3B40">
        <w:rPr>
          <w:sz w:val="28"/>
          <w:szCs w:val="28"/>
        </w:rPr>
        <w:t xml:space="preserve">г. составляет  </w:t>
      </w:r>
      <w:r>
        <w:rPr>
          <w:sz w:val="28"/>
          <w:szCs w:val="28"/>
        </w:rPr>
        <w:t xml:space="preserve">115 423,95 </w:t>
      </w:r>
      <w:r w:rsidRPr="00FC3B40">
        <w:rPr>
          <w:sz w:val="28"/>
          <w:szCs w:val="28"/>
        </w:rPr>
        <w:t xml:space="preserve">тыс. рублей,  что </w:t>
      </w:r>
      <w:r w:rsidRPr="00881381">
        <w:rPr>
          <w:sz w:val="28"/>
          <w:szCs w:val="28"/>
        </w:rPr>
        <w:t>превышает первоначальный план на</w:t>
      </w:r>
      <w:r>
        <w:rPr>
          <w:sz w:val="28"/>
          <w:szCs w:val="28"/>
        </w:rPr>
        <w:t>22 930,04</w:t>
      </w:r>
      <w:r w:rsidRPr="00FC3B40">
        <w:rPr>
          <w:sz w:val="28"/>
          <w:szCs w:val="28"/>
        </w:rPr>
        <w:t xml:space="preserve"> тыс. рублей</w:t>
      </w:r>
      <w:r w:rsidRPr="00483EDE">
        <w:rPr>
          <w:sz w:val="28"/>
          <w:szCs w:val="28"/>
        </w:rPr>
        <w:t>. В рамках програм</w:t>
      </w:r>
      <w:r>
        <w:rPr>
          <w:sz w:val="28"/>
          <w:szCs w:val="28"/>
        </w:rPr>
        <w:t xml:space="preserve">мы изменения произошли за счет: </w:t>
      </w:r>
    </w:p>
    <w:p w:rsidR="0041424D" w:rsidRDefault="0041424D" w:rsidP="0041424D">
      <w:pPr>
        <w:tabs>
          <w:tab w:val="left" w:pos="709"/>
        </w:tabs>
        <w:autoSpaceDE w:val="0"/>
        <w:autoSpaceDN w:val="0"/>
        <w:adjustRightInd w:val="0"/>
        <w:ind w:firstLine="648"/>
        <w:jc w:val="both"/>
        <w:rPr>
          <w:sz w:val="28"/>
          <w:szCs w:val="28"/>
        </w:rPr>
      </w:pPr>
      <w:r w:rsidRPr="005A2460">
        <w:rPr>
          <w:sz w:val="28"/>
          <w:szCs w:val="28"/>
        </w:rPr>
        <w:t>- поступления  межбюджетных трансфертов на</w:t>
      </w:r>
      <w:r w:rsidRPr="00D535DC">
        <w:rPr>
          <w:sz w:val="28"/>
          <w:szCs w:val="28"/>
        </w:rPr>
        <w:t xml:space="preserve"> обеспечение развития </w:t>
      </w:r>
      <w:r>
        <w:rPr>
          <w:sz w:val="28"/>
          <w:szCs w:val="28"/>
        </w:rPr>
        <w:t xml:space="preserve">и укрепления МТБ домов культуры, на </w:t>
      </w:r>
      <w:r w:rsidRPr="00D535DC">
        <w:rPr>
          <w:sz w:val="28"/>
          <w:szCs w:val="28"/>
        </w:rPr>
        <w:t>господдержк</w:t>
      </w:r>
      <w:r>
        <w:rPr>
          <w:sz w:val="28"/>
          <w:szCs w:val="28"/>
        </w:rPr>
        <w:t xml:space="preserve">у лучших работников </w:t>
      </w:r>
      <w:r w:rsidRPr="00D535DC">
        <w:rPr>
          <w:sz w:val="28"/>
          <w:szCs w:val="28"/>
        </w:rPr>
        <w:t>отрасли культу</w:t>
      </w:r>
      <w:r>
        <w:rPr>
          <w:sz w:val="28"/>
          <w:szCs w:val="28"/>
        </w:rPr>
        <w:t>ры, на п</w:t>
      </w:r>
      <w:r w:rsidRPr="0048108D">
        <w:rPr>
          <w:sz w:val="28"/>
          <w:szCs w:val="28"/>
        </w:rPr>
        <w:t>роведение капитального ремонта зданий и сооружений, благоустройство территории муниципальных учреждений культуры муниципальных образований</w:t>
      </w:r>
      <w:r w:rsidRPr="00D535DC">
        <w:rPr>
          <w:sz w:val="28"/>
          <w:szCs w:val="28"/>
        </w:rPr>
        <w:t xml:space="preserve">;  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выделенных бюджетных средств  на повышение заработной платы муниципальных служащих  и работникам муниципальных учреждений;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 xml:space="preserve">4 года </w:t>
      </w:r>
      <w:r w:rsidRPr="009B1620">
        <w:rPr>
          <w:sz w:val="28"/>
          <w:szCs w:val="28"/>
        </w:rPr>
        <w:t>на  обеспечение деятельности муниципальных учреждений культуры</w:t>
      </w:r>
      <w:r>
        <w:rPr>
          <w:sz w:val="28"/>
          <w:szCs w:val="28"/>
        </w:rPr>
        <w:t xml:space="preserve"> и </w:t>
      </w:r>
      <w:r w:rsidRPr="005A5B30">
        <w:rPr>
          <w:sz w:val="28"/>
          <w:szCs w:val="28"/>
        </w:rPr>
        <w:t>центра обслуживания учреждений культуры</w:t>
      </w:r>
      <w:r>
        <w:rPr>
          <w:sz w:val="28"/>
          <w:szCs w:val="28"/>
        </w:rPr>
        <w:t>;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C55">
        <w:rPr>
          <w:sz w:val="28"/>
          <w:szCs w:val="28"/>
        </w:rPr>
        <w:t xml:space="preserve">перераспределения бюджетных ассигнований средств местного бюджета между </w:t>
      </w:r>
      <w:proofErr w:type="spellStart"/>
      <w:r w:rsidRPr="00CD0C55">
        <w:rPr>
          <w:rFonts w:eastAsia="Calibri"/>
          <w:sz w:val="28"/>
          <w:szCs w:val="28"/>
        </w:rPr>
        <w:t>непрограммными</w:t>
      </w:r>
      <w:proofErr w:type="spellEnd"/>
      <w:r w:rsidRPr="00CD0C55">
        <w:rPr>
          <w:rFonts w:eastAsia="Calibri"/>
          <w:sz w:val="28"/>
          <w:szCs w:val="28"/>
        </w:rPr>
        <w:t xml:space="preserve"> и программными мероприятиями</w:t>
      </w:r>
      <w:r>
        <w:rPr>
          <w:sz w:val="28"/>
          <w:szCs w:val="28"/>
        </w:rPr>
        <w:t>.</w:t>
      </w:r>
    </w:p>
    <w:p w:rsidR="0041424D" w:rsidRPr="00AE7009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– отдел культуры АНМО  - освоил114 908,68</w:t>
      </w:r>
      <w:r w:rsidRPr="00DB63C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99,55</w:t>
      </w:r>
      <w:r w:rsidRPr="00DB63C4">
        <w:rPr>
          <w:sz w:val="28"/>
          <w:szCs w:val="28"/>
        </w:rPr>
        <w:t xml:space="preserve">% </w:t>
      </w:r>
      <w:r>
        <w:rPr>
          <w:sz w:val="28"/>
          <w:szCs w:val="28"/>
        </w:rPr>
        <w:t>от запланированных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</w:t>
      </w:r>
      <w:r w:rsidRPr="008101E0">
        <w:rPr>
          <w:sz w:val="28"/>
          <w:szCs w:val="28"/>
        </w:rPr>
        <w:t>.</w:t>
      </w:r>
    </w:p>
    <w:p w:rsidR="0041424D" w:rsidRDefault="0041424D" w:rsidP="0041424D">
      <w:pPr>
        <w:ind w:firstLine="709"/>
        <w:jc w:val="center"/>
        <w:rPr>
          <w:sz w:val="28"/>
          <w:szCs w:val="28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8101E0">
        <w:rPr>
          <w:b/>
          <w:sz w:val="28"/>
          <w:szCs w:val="28"/>
        </w:rPr>
        <w:lastRenderedPageBreak/>
        <w:t>Муниципальная программа</w:t>
      </w:r>
      <w:r w:rsidRPr="00881381">
        <w:rPr>
          <w:b/>
          <w:sz w:val="28"/>
          <w:szCs w:val="28"/>
        </w:rPr>
        <w:t xml:space="preserve"> «Управление имуществом Новоселицкого муниципального округа СК»</w:t>
      </w:r>
    </w:p>
    <w:p w:rsidR="0041424D" w:rsidRPr="00B56E2E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881381">
        <w:rPr>
          <w:sz w:val="28"/>
        </w:rPr>
        <w:t>Объем бюджетных ассигнований на реализаци</w:t>
      </w:r>
      <w:r>
        <w:rPr>
          <w:sz w:val="28"/>
        </w:rPr>
        <w:t xml:space="preserve">ю программы </w:t>
      </w:r>
      <w:r w:rsidRPr="00FC3B40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01</w:t>
      </w:r>
      <w:r w:rsidRPr="00FC3B4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C3B40">
        <w:rPr>
          <w:sz w:val="28"/>
          <w:szCs w:val="28"/>
        </w:rPr>
        <w:t>г</w:t>
      </w:r>
      <w:proofErr w:type="gramStart"/>
      <w:r w:rsidRPr="00FC3B40">
        <w:rPr>
          <w:sz w:val="28"/>
          <w:szCs w:val="28"/>
        </w:rPr>
        <w:t>.</w:t>
      </w:r>
      <w:r w:rsidRPr="00881381">
        <w:rPr>
          <w:sz w:val="28"/>
          <w:szCs w:val="28"/>
        </w:rPr>
        <w:t>с</w:t>
      </w:r>
      <w:proofErr w:type="gramEnd"/>
      <w:r w:rsidRPr="00881381">
        <w:rPr>
          <w:sz w:val="28"/>
          <w:szCs w:val="28"/>
        </w:rPr>
        <w:t xml:space="preserve">оставляет </w:t>
      </w:r>
      <w:r>
        <w:rPr>
          <w:sz w:val="28"/>
          <w:szCs w:val="28"/>
        </w:rPr>
        <w:t xml:space="preserve">5 391,22 тыс. рубле, что </w:t>
      </w:r>
      <w:r w:rsidRPr="00881381">
        <w:rPr>
          <w:sz w:val="28"/>
          <w:szCs w:val="28"/>
        </w:rPr>
        <w:t>превышает первоначальный план на</w:t>
      </w:r>
      <w:r>
        <w:rPr>
          <w:sz w:val="28"/>
          <w:szCs w:val="28"/>
        </w:rPr>
        <w:t xml:space="preserve"> 284,92 </w:t>
      </w:r>
      <w:r w:rsidRPr="00FC3B4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счет </w:t>
      </w:r>
      <w:r>
        <w:rPr>
          <w:sz w:val="28"/>
          <w:szCs w:val="28"/>
        </w:rPr>
        <w:t>дополнительно выделенных бюджетных средств  на повышение заработной платы муниципальных служащих</w:t>
      </w:r>
      <w:r>
        <w:rPr>
          <w:rFonts w:eastAsia="Calibri"/>
          <w:sz w:val="28"/>
          <w:szCs w:val="28"/>
        </w:rPr>
        <w:t>.</w:t>
      </w:r>
    </w:p>
    <w:p w:rsidR="0041424D" w:rsidRDefault="0041424D" w:rsidP="0041424D">
      <w:pPr>
        <w:ind w:firstLine="709"/>
        <w:jc w:val="both"/>
        <w:rPr>
          <w:sz w:val="28"/>
        </w:rPr>
      </w:pPr>
      <w:r>
        <w:rPr>
          <w:sz w:val="28"/>
          <w:szCs w:val="28"/>
        </w:rPr>
        <w:t>Исполнитель программы – отдел имущественных и земельных отношений АНМО - освоил</w:t>
      </w:r>
      <w:r>
        <w:rPr>
          <w:sz w:val="28"/>
        </w:rPr>
        <w:t>5 341,34</w:t>
      </w:r>
      <w:r w:rsidRPr="00DB63C4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</w:t>
      </w:r>
      <w:r w:rsidRPr="00DB63C4">
        <w:rPr>
          <w:sz w:val="28"/>
          <w:szCs w:val="28"/>
        </w:rPr>
        <w:t xml:space="preserve"> или </w:t>
      </w:r>
      <w:r>
        <w:rPr>
          <w:sz w:val="28"/>
          <w:szCs w:val="28"/>
        </w:rPr>
        <w:t>99,07</w:t>
      </w:r>
      <w:r w:rsidRPr="00DB63C4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уточненных плановых показателей</w:t>
      </w:r>
      <w:r w:rsidRPr="008101E0">
        <w:rPr>
          <w:sz w:val="28"/>
          <w:szCs w:val="28"/>
        </w:rPr>
        <w:t>.</w:t>
      </w:r>
    </w:p>
    <w:p w:rsidR="0041424D" w:rsidRPr="00881381" w:rsidRDefault="0041424D" w:rsidP="0041424D">
      <w:pPr>
        <w:ind w:firstLine="709"/>
        <w:jc w:val="both"/>
        <w:rPr>
          <w:sz w:val="28"/>
        </w:rPr>
      </w:pPr>
    </w:p>
    <w:p w:rsidR="0041424D" w:rsidRPr="001E3913" w:rsidRDefault="0041424D" w:rsidP="0041424D">
      <w:pPr>
        <w:ind w:firstLine="709"/>
        <w:jc w:val="center"/>
        <w:rPr>
          <w:b/>
          <w:sz w:val="28"/>
          <w:szCs w:val="28"/>
        </w:rPr>
      </w:pPr>
      <w:r w:rsidRPr="001E3913">
        <w:rPr>
          <w:b/>
          <w:sz w:val="28"/>
          <w:szCs w:val="28"/>
        </w:rPr>
        <w:t xml:space="preserve">Муниципальная программа </w:t>
      </w:r>
      <w:r w:rsidRPr="001E3913">
        <w:rPr>
          <w:b/>
          <w:bCs/>
          <w:sz w:val="28"/>
          <w:szCs w:val="28"/>
        </w:rPr>
        <w:t xml:space="preserve">«Молодежь Новоселицкого </w:t>
      </w:r>
    </w:p>
    <w:p w:rsidR="0041424D" w:rsidRDefault="0041424D" w:rsidP="0041424D">
      <w:pPr>
        <w:ind w:firstLine="709"/>
        <w:jc w:val="center"/>
        <w:rPr>
          <w:b/>
          <w:bCs/>
          <w:sz w:val="28"/>
          <w:szCs w:val="28"/>
        </w:rPr>
      </w:pPr>
      <w:r w:rsidRPr="001E3913">
        <w:rPr>
          <w:b/>
          <w:bCs/>
          <w:sz w:val="28"/>
          <w:szCs w:val="28"/>
        </w:rPr>
        <w:t xml:space="preserve">муниципального округа Ставропольского края» </w:t>
      </w:r>
    </w:p>
    <w:p w:rsidR="0041424D" w:rsidRPr="00B56E2E" w:rsidRDefault="0041424D" w:rsidP="0041424D">
      <w:pPr>
        <w:ind w:firstLine="709"/>
        <w:jc w:val="center"/>
        <w:rPr>
          <w:b/>
          <w:bCs/>
          <w:sz w:val="28"/>
          <w:szCs w:val="28"/>
        </w:rPr>
      </w:pPr>
    </w:p>
    <w:p w:rsidR="0041424D" w:rsidRDefault="0041424D" w:rsidP="0041424D">
      <w:pPr>
        <w:ind w:firstLine="709"/>
        <w:jc w:val="both"/>
        <w:rPr>
          <w:sz w:val="28"/>
        </w:rPr>
      </w:pPr>
      <w:r w:rsidRPr="001E3913">
        <w:rPr>
          <w:sz w:val="28"/>
        </w:rPr>
        <w:t>Объем бюджетных ассигнований на реализацию программы по состоянию на 01.</w:t>
      </w:r>
      <w:r>
        <w:rPr>
          <w:sz w:val="28"/>
        </w:rPr>
        <w:t>01</w:t>
      </w:r>
      <w:r w:rsidRPr="001E3913">
        <w:rPr>
          <w:sz w:val="28"/>
        </w:rPr>
        <w:t>.202</w:t>
      </w:r>
      <w:r>
        <w:rPr>
          <w:sz w:val="28"/>
        </w:rPr>
        <w:t>5</w:t>
      </w:r>
      <w:r w:rsidRPr="001E3913">
        <w:rPr>
          <w:sz w:val="28"/>
        </w:rPr>
        <w:t xml:space="preserve">г. составляет </w:t>
      </w:r>
      <w:r>
        <w:rPr>
          <w:sz w:val="28"/>
        </w:rPr>
        <w:t xml:space="preserve">1 358,68 тыс. рублей, что </w:t>
      </w:r>
      <w:r w:rsidRPr="00881381">
        <w:rPr>
          <w:sz w:val="28"/>
          <w:szCs w:val="28"/>
        </w:rPr>
        <w:t>превышает первоначальный план на</w:t>
      </w:r>
      <w:r>
        <w:rPr>
          <w:sz w:val="28"/>
          <w:szCs w:val="28"/>
        </w:rPr>
        <w:t xml:space="preserve"> 73,02 </w:t>
      </w:r>
      <w:r w:rsidRPr="00FC3B4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за счет дополнительно выделенных бюджетных средств  на повышение заработной платы работникам муниципальных учреждений</w:t>
      </w:r>
      <w:r>
        <w:rPr>
          <w:sz w:val="28"/>
        </w:rPr>
        <w:t xml:space="preserve">. </w:t>
      </w:r>
      <w:r w:rsidRPr="001E3913">
        <w:rPr>
          <w:sz w:val="28"/>
        </w:rPr>
        <w:t xml:space="preserve">Кассовое исполнение на отчетную дату составило  </w:t>
      </w:r>
      <w:r>
        <w:rPr>
          <w:sz w:val="28"/>
        </w:rPr>
        <w:t>1 358,68</w:t>
      </w:r>
      <w:r w:rsidRPr="001E3913">
        <w:rPr>
          <w:sz w:val="28"/>
        </w:rPr>
        <w:t xml:space="preserve"> тыс. рублей, или </w:t>
      </w:r>
      <w:r>
        <w:rPr>
          <w:sz w:val="28"/>
        </w:rPr>
        <w:t>100,00</w:t>
      </w:r>
      <w:r w:rsidRPr="001E3913">
        <w:rPr>
          <w:sz w:val="28"/>
        </w:rPr>
        <w:t>% к годовому уточненному плану. В рамках данной программы расходы направляются на обеспечение деятельности (оказание услуг) в области организационно – воспитательной работы с молодежью.</w:t>
      </w:r>
    </w:p>
    <w:p w:rsidR="0041424D" w:rsidRPr="001E3913" w:rsidRDefault="0041424D" w:rsidP="0041424D">
      <w:pPr>
        <w:ind w:firstLine="709"/>
        <w:jc w:val="both"/>
        <w:rPr>
          <w:sz w:val="28"/>
        </w:rPr>
      </w:pPr>
    </w:p>
    <w:p w:rsidR="0041424D" w:rsidRDefault="0041424D" w:rsidP="0041424D">
      <w:pPr>
        <w:ind w:firstLine="709"/>
        <w:jc w:val="center"/>
        <w:rPr>
          <w:b/>
          <w:sz w:val="28"/>
          <w:szCs w:val="28"/>
        </w:rPr>
      </w:pPr>
      <w:r w:rsidRPr="004B48DE">
        <w:rPr>
          <w:b/>
          <w:sz w:val="28"/>
        </w:rPr>
        <w:t xml:space="preserve"> Муниципальная программа "</w:t>
      </w:r>
      <w:r w:rsidRPr="004B48DE">
        <w:rPr>
          <w:b/>
          <w:color w:val="000000"/>
          <w:sz w:val="28"/>
          <w:szCs w:val="28"/>
        </w:rPr>
        <w:t>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</w:t>
      </w:r>
      <w:r w:rsidRPr="004B48DE">
        <w:rPr>
          <w:b/>
          <w:sz w:val="28"/>
          <w:szCs w:val="28"/>
        </w:rPr>
        <w:t>"</w:t>
      </w:r>
    </w:p>
    <w:p w:rsidR="0041424D" w:rsidRPr="004B48DE" w:rsidRDefault="0041424D" w:rsidP="0041424D">
      <w:pPr>
        <w:ind w:firstLine="709"/>
        <w:jc w:val="center"/>
        <w:rPr>
          <w:b/>
          <w:sz w:val="28"/>
          <w:szCs w:val="28"/>
        </w:rPr>
      </w:pP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E2279C">
        <w:rPr>
          <w:sz w:val="28"/>
        </w:rPr>
        <w:t>Объем бюджетных ассигнований на реализацию программы по состоянию на 01.</w:t>
      </w:r>
      <w:r>
        <w:rPr>
          <w:sz w:val="28"/>
        </w:rPr>
        <w:t>01</w:t>
      </w:r>
      <w:r w:rsidRPr="00E2279C">
        <w:rPr>
          <w:sz w:val="28"/>
        </w:rPr>
        <w:t>.202</w:t>
      </w:r>
      <w:r>
        <w:rPr>
          <w:sz w:val="28"/>
        </w:rPr>
        <w:t>5</w:t>
      </w:r>
      <w:r w:rsidRPr="00E2279C">
        <w:rPr>
          <w:sz w:val="28"/>
        </w:rPr>
        <w:t xml:space="preserve">г. составляет </w:t>
      </w:r>
      <w:r>
        <w:rPr>
          <w:sz w:val="28"/>
        </w:rPr>
        <w:t xml:space="preserve">11 494,86 тыс. рублей, что </w:t>
      </w:r>
      <w:r w:rsidRPr="00881381">
        <w:rPr>
          <w:sz w:val="28"/>
          <w:szCs w:val="28"/>
        </w:rPr>
        <w:t>превышает первоначальный план на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488,79</w:t>
      </w:r>
      <w:r w:rsidRPr="004B48DE">
        <w:rPr>
          <w:sz w:val="28"/>
        </w:rPr>
        <w:t>тыс. рублей</w:t>
      </w:r>
      <w:r w:rsidRPr="00E2279C">
        <w:rPr>
          <w:sz w:val="28"/>
          <w:szCs w:val="28"/>
        </w:rPr>
        <w:t xml:space="preserve">. </w:t>
      </w:r>
      <w:r w:rsidRPr="00483EDE">
        <w:rPr>
          <w:sz w:val="28"/>
          <w:szCs w:val="28"/>
        </w:rPr>
        <w:t>В рамках програм</w:t>
      </w:r>
      <w:r>
        <w:rPr>
          <w:sz w:val="28"/>
          <w:szCs w:val="28"/>
        </w:rPr>
        <w:t>мы изменения произошли за счет:</w:t>
      </w:r>
    </w:p>
    <w:p w:rsidR="0041424D" w:rsidRDefault="0041424D" w:rsidP="004142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5232A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r w:rsidRPr="00263031">
        <w:rPr>
          <w:sz w:val="28"/>
          <w:szCs w:val="28"/>
        </w:rPr>
        <w:t>плановых годовых назначений в части межбюджетных трансфертов</w:t>
      </w:r>
      <w:r>
        <w:rPr>
          <w:sz w:val="28"/>
          <w:szCs w:val="28"/>
        </w:rPr>
        <w:t xml:space="preserve"> на </w:t>
      </w:r>
      <w:r w:rsidRPr="0078033F">
        <w:rPr>
          <w:sz w:val="28"/>
          <w:szCs w:val="28"/>
        </w:rPr>
        <w:t xml:space="preserve">осуществление отдельных государственных полномочий Ставропольского края по созданию и организации деятельности административных </w:t>
      </w:r>
      <w:r w:rsidRPr="005B5DAA">
        <w:rPr>
          <w:sz w:val="28"/>
          <w:szCs w:val="28"/>
        </w:rPr>
        <w:t>комиссий</w:t>
      </w:r>
      <w:r>
        <w:rPr>
          <w:sz w:val="28"/>
          <w:szCs w:val="28"/>
        </w:rPr>
        <w:t>;</w:t>
      </w:r>
    </w:p>
    <w:p w:rsidR="0041424D" w:rsidRDefault="0041424D" w:rsidP="004142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6124">
        <w:rPr>
          <w:sz w:val="28"/>
          <w:szCs w:val="28"/>
        </w:rPr>
        <w:t>- направления  остатк</w:t>
      </w:r>
      <w:r>
        <w:rPr>
          <w:sz w:val="28"/>
          <w:szCs w:val="28"/>
        </w:rPr>
        <w:t>ов</w:t>
      </w:r>
      <w:r w:rsidRPr="00A36124">
        <w:rPr>
          <w:sz w:val="28"/>
          <w:szCs w:val="28"/>
        </w:rPr>
        <w:t xml:space="preserve"> средств местного бюджета, сложивш</w:t>
      </w:r>
      <w:r>
        <w:rPr>
          <w:sz w:val="28"/>
          <w:szCs w:val="28"/>
        </w:rPr>
        <w:t>ихся</w:t>
      </w:r>
      <w:r w:rsidRPr="00A36124">
        <w:rPr>
          <w:sz w:val="28"/>
          <w:szCs w:val="28"/>
        </w:rPr>
        <w:t xml:space="preserve">  по состоянию на 01.01.2024 года на проведение конкурсов "Народная дружина" и "Лучший народный дружинник", информационно-пропагандистское противодействие экстремизму и терроризму</w:t>
      </w:r>
      <w:r>
        <w:rPr>
          <w:sz w:val="28"/>
          <w:szCs w:val="28"/>
        </w:rPr>
        <w:t xml:space="preserve">, установку систем видеонаблюдения в парке села </w:t>
      </w:r>
      <w:proofErr w:type="spellStart"/>
      <w:r>
        <w:rPr>
          <w:sz w:val="28"/>
          <w:szCs w:val="28"/>
        </w:rPr>
        <w:t>Падинского</w:t>
      </w:r>
      <w:proofErr w:type="spellEnd"/>
      <w:r w:rsidRPr="00A36124">
        <w:rPr>
          <w:sz w:val="28"/>
          <w:szCs w:val="28"/>
        </w:rPr>
        <w:t xml:space="preserve"> и др.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дополнительно выделенных бюджетных средств  на повышение заработной платы муниципальных служащих  и работникам муниципальных учреждений;</w:t>
      </w:r>
    </w:p>
    <w:p w:rsidR="0041424D" w:rsidRPr="00DC183C" w:rsidRDefault="0041424D" w:rsidP="0041424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перераспределения бюджетных ассигнований средств местного бюджета между </w:t>
      </w:r>
      <w:proofErr w:type="spellStart"/>
      <w:r>
        <w:rPr>
          <w:rFonts w:eastAsia="Calibri"/>
          <w:sz w:val="28"/>
          <w:szCs w:val="28"/>
        </w:rPr>
        <w:t>непрограммными</w:t>
      </w:r>
      <w:proofErr w:type="spellEnd"/>
      <w:r>
        <w:rPr>
          <w:rFonts w:eastAsia="Calibri"/>
          <w:sz w:val="28"/>
          <w:szCs w:val="28"/>
        </w:rPr>
        <w:t xml:space="preserve"> и программными мероприятиями.</w:t>
      </w:r>
    </w:p>
    <w:p w:rsidR="0041424D" w:rsidRDefault="0041424D" w:rsidP="0041424D">
      <w:pPr>
        <w:ind w:firstLine="709"/>
        <w:jc w:val="both"/>
        <w:rPr>
          <w:sz w:val="28"/>
        </w:rPr>
      </w:pPr>
      <w:r w:rsidRPr="00E2279C">
        <w:rPr>
          <w:sz w:val="28"/>
        </w:rPr>
        <w:t>Кассовое исполнение на отчетную</w:t>
      </w:r>
      <w:r w:rsidRPr="004B48DE">
        <w:rPr>
          <w:sz w:val="28"/>
        </w:rPr>
        <w:t xml:space="preserve"> дату составило  </w:t>
      </w:r>
      <w:r>
        <w:rPr>
          <w:sz w:val="28"/>
        </w:rPr>
        <w:t>11 384,20</w:t>
      </w:r>
      <w:r w:rsidRPr="004B48DE">
        <w:rPr>
          <w:sz w:val="28"/>
        </w:rPr>
        <w:t xml:space="preserve">тыс. рублей, или </w:t>
      </w:r>
      <w:r>
        <w:rPr>
          <w:sz w:val="28"/>
        </w:rPr>
        <w:t>99,04</w:t>
      </w:r>
      <w:r w:rsidRPr="004B48DE">
        <w:rPr>
          <w:sz w:val="28"/>
        </w:rPr>
        <w:t>% к годовому уточненному плану.</w:t>
      </w:r>
      <w:r>
        <w:rPr>
          <w:sz w:val="28"/>
        </w:rPr>
        <w:t xml:space="preserve"> В том числе а</w:t>
      </w:r>
      <w:r>
        <w:rPr>
          <w:sz w:val="28"/>
          <w:szCs w:val="28"/>
        </w:rPr>
        <w:t>дминистрацией НМО СК  освоено  10 632,84тыс. рублей из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</w:t>
      </w:r>
      <w:r>
        <w:rPr>
          <w:sz w:val="28"/>
        </w:rPr>
        <w:t xml:space="preserve">. </w:t>
      </w:r>
      <w:r>
        <w:rPr>
          <w:sz w:val="28"/>
          <w:szCs w:val="28"/>
        </w:rPr>
        <w:t>Территориальными  отделами  освоено  751,36 тыс. рублей из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ограммы.</w:t>
      </w:r>
    </w:p>
    <w:p w:rsidR="0041424D" w:rsidRDefault="0041424D" w:rsidP="0041424D">
      <w:pPr>
        <w:ind w:firstLine="709"/>
        <w:jc w:val="both"/>
        <w:rPr>
          <w:sz w:val="28"/>
        </w:rPr>
      </w:pPr>
    </w:p>
    <w:p w:rsidR="0041424D" w:rsidRPr="00A236E7" w:rsidRDefault="0041424D" w:rsidP="0041424D">
      <w:pPr>
        <w:ind w:firstLine="709"/>
        <w:jc w:val="center"/>
        <w:rPr>
          <w:b/>
          <w:color w:val="000000"/>
          <w:sz w:val="28"/>
          <w:szCs w:val="28"/>
        </w:rPr>
      </w:pPr>
      <w:r w:rsidRPr="00A236E7">
        <w:rPr>
          <w:b/>
          <w:sz w:val="28"/>
          <w:szCs w:val="28"/>
        </w:rPr>
        <w:t>Муниципальная программа</w:t>
      </w:r>
      <w:r w:rsidRPr="00A236E7">
        <w:rPr>
          <w:b/>
          <w:color w:val="000000"/>
          <w:sz w:val="28"/>
          <w:szCs w:val="28"/>
        </w:rPr>
        <w:t xml:space="preserve"> «Формирование современной городской среды Новоселицкого муниципального округа</w:t>
      </w:r>
    </w:p>
    <w:p w:rsidR="0041424D" w:rsidRPr="00A236E7" w:rsidRDefault="0041424D" w:rsidP="0041424D">
      <w:pPr>
        <w:ind w:firstLine="709"/>
        <w:jc w:val="center"/>
        <w:rPr>
          <w:b/>
          <w:sz w:val="28"/>
          <w:szCs w:val="28"/>
        </w:rPr>
      </w:pPr>
      <w:r w:rsidRPr="00A236E7">
        <w:rPr>
          <w:b/>
          <w:color w:val="000000"/>
          <w:sz w:val="28"/>
          <w:szCs w:val="28"/>
        </w:rPr>
        <w:t>Ставропольского края»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 w:rsidRPr="00E2279C">
        <w:rPr>
          <w:sz w:val="28"/>
        </w:rPr>
        <w:t>Объем бюджетных ассигнований на реализацию программы по состоянию на 01.</w:t>
      </w:r>
      <w:r>
        <w:rPr>
          <w:sz w:val="28"/>
        </w:rPr>
        <w:t>10</w:t>
      </w:r>
      <w:r w:rsidRPr="00E2279C">
        <w:rPr>
          <w:sz w:val="28"/>
        </w:rPr>
        <w:t>.202</w:t>
      </w:r>
      <w:r>
        <w:rPr>
          <w:sz w:val="28"/>
        </w:rPr>
        <w:t>4</w:t>
      </w:r>
      <w:r w:rsidRPr="00E2279C">
        <w:rPr>
          <w:sz w:val="28"/>
        </w:rPr>
        <w:t xml:space="preserve">г. составляет </w:t>
      </w:r>
      <w:r>
        <w:rPr>
          <w:sz w:val="28"/>
        </w:rPr>
        <w:t xml:space="preserve">21 925,22 тыс. рублей, что </w:t>
      </w:r>
      <w:r w:rsidRPr="00881381">
        <w:rPr>
          <w:sz w:val="28"/>
          <w:szCs w:val="28"/>
        </w:rPr>
        <w:t>превышает первоначальный план на</w:t>
      </w:r>
      <w:r>
        <w:rPr>
          <w:sz w:val="28"/>
          <w:szCs w:val="28"/>
        </w:rPr>
        <w:t>925,22</w:t>
      </w:r>
      <w:r w:rsidRPr="004B48DE">
        <w:rPr>
          <w:sz w:val="28"/>
        </w:rPr>
        <w:t>тыс. рублей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перераспределения бюджетных ассигнований между главными распорядителями </w:t>
      </w:r>
      <w:r>
        <w:rPr>
          <w:rFonts w:eastAsia="Calibri"/>
          <w:sz w:val="28"/>
          <w:szCs w:val="28"/>
        </w:rPr>
        <w:t xml:space="preserve">на реализацию мероприятий по благоустройству парковой зоны в селе </w:t>
      </w:r>
      <w:proofErr w:type="spellStart"/>
      <w:r>
        <w:rPr>
          <w:rFonts w:eastAsia="Calibri"/>
          <w:sz w:val="28"/>
          <w:szCs w:val="28"/>
        </w:rPr>
        <w:t>Падинском</w:t>
      </w:r>
      <w:proofErr w:type="spellEnd"/>
      <w:r>
        <w:rPr>
          <w:rFonts w:eastAsia="Calibri"/>
          <w:sz w:val="28"/>
        </w:rPr>
        <w:t>.</w:t>
      </w:r>
      <w:r>
        <w:rPr>
          <w:sz w:val="28"/>
          <w:szCs w:val="28"/>
        </w:rPr>
        <w:t xml:space="preserve"> Исполнитель программы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ерриториальный отдел АНМО СК в селе </w:t>
      </w:r>
      <w:proofErr w:type="spellStart"/>
      <w:r>
        <w:rPr>
          <w:sz w:val="28"/>
          <w:szCs w:val="28"/>
        </w:rPr>
        <w:t>Падинском</w:t>
      </w:r>
      <w:proofErr w:type="spellEnd"/>
      <w:r>
        <w:rPr>
          <w:sz w:val="28"/>
          <w:szCs w:val="28"/>
        </w:rPr>
        <w:t>- освоил</w:t>
      </w:r>
      <w:r>
        <w:rPr>
          <w:sz w:val="28"/>
        </w:rPr>
        <w:t>21 925,22</w:t>
      </w:r>
      <w:r w:rsidRPr="00DB63C4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средств программы</w:t>
      </w:r>
      <w:r w:rsidRPr="00DB63C4">
        <w:rPr>
          <w:sz w:val="28"/>
          <w:szCs w:val="28"/>
        </w:rPr>
        <w:t xml:space="preserve"> или </w:t>
      </w:r>
      <w:r>
        <w:rPr>
          <w:sz w:val="28"/>
          <w:szCs w:val="28"/>
        </w:rPr>
        <w:t>100,00</w:t>
      </w:r>
      <w:r w:rsidRPr="00DB63C4">
        <w:rPr>
          <w:sz w:val="28"/>
          <w:szCs w:val="28"/>
        </w:rPr>
        <w:t xml:space="preserve">% </w:t>
      </w:r>
      <w:r>
        <w:rPr>
          <w:sz w:val="28"/>
          <w:szCs w:val="28"/>
        </w:rPr>
        <w:t>от плановых показателей</w:t>
      </w:r>
      <w:r w:rsidRPr="00810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3913">
        <w:rPr>
          <w:sz w:val="28"/>
        </w:rPr>
        <w:t>В рамках данной программы расходы направляются</w:t>
      </w:r>
      <w:r>
        <w:rPr>
          <w:sz w:val="28"/>
        </w:rPr>
        <w:t xml:space="preserve"> </w:t>
      </w:r>
      <w:r>
        <w:rPr>
          <w:sz w:val="28"/>
          <w:szCs w:val="28"/>
        </w:rPr>
        <w:t>на реализацию</w:t>
      </w:r>
      <w:r w:rsidRPr="00E74966">
        <w:rPr>
          <w:sz w:val="28"/>
          <w:szCs w:val="28"/>
        </w:rPr>
        <w:t xml:space="preserve"> программ формирования современной городской среды</w:t>
      </w:r>
      <w:r>
        <w:rPr>
          <w:sz w:val="28"/>
          <w:szCs w:val="28"/>
        </w:rPr>
        <w:t xml:space="preserve"> в селе </w:t>
      </w:r>
      <w:proofErr w:type="spellStart"/>
      <w:r>
        <w:rPr>
          <w:sz w:val="28"/>
          <w:szCs w:val="28"/>
        </w:rPr>
        <w:t>Падинском</w:t>
      </w:r>
      <w:proofErr w:type="spellEnd"/>
      <w:r>
        <w:rPr>
          <w:sz w:val="28"/>
          <w:szCs w:val="28"/>
        </w:rPr>
        <w:t>.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</w:p>
    <w:p w:rsidR="0041424D" w:rsidRPr="00B56E2E" w:rsidRDefault="0041424D" w:rsidP="0041424D">
      <w:pPr>
        <w:ind w:firstLine="709"/>
        <w:jc w:val="center"/>
        <w:rPr>
          <w:b/>
          <w:sz w:val="28"/>
        </w:rPr>
      </w:pPr>
      <w:proofErr w:type="spellStart"/>
      <w:r w:rsidRPr="00925C95">
        <w:rPr>
          <w:b/>
          <w:sz w:val="28"/>
        </w:rPr>
        <w:t>Непрограммные</w:t>
      </w:r>
      <w:proofErr w:type="spellEnd"/>
      <w:r w:rsidRPr="00925C95">
        <w:rPr>
          <w:b/>
          <w:sz w:val="28"/>
        </w:rPr>
        <w:t xml:space="preserve"> мероприятия</w:t>
      </w:r>
    </w:p>
    <w:p w:rsidR="0041424D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sz w:val="28"/>
        </w:rPr>
      </w:pPr>
      <w:r w:rsidRPr="00925C95">
        <w:rPr>
          <w:sz w:val="28"/>
        </w:rPr>
        <w:t xml:space="preserve">   В рамках </w:t>
      </w:r>
      <w:proofErr w:type="spellStart"/>
      <w:r w:rsidRPr="00925C95">
        <w:rPr>
          <w:sz w:val="28"/>
        </w:rPr>
        <w:t>непрограммных</w:t>
      </w:r>
      <w:proofErr w:type="spellEnd"/>
      <w:r w:rsidRPr="00925C95">
        <w:rPr>
          <w:sz w:val="28"/>
        </w:rPr>
        <w:t xml:space="preserve"> мероприятий осуществляются  расходы за счет собственных средств бюджета  на обеспечение деятельности аппарата совета </w:t>
      </w:r>
      <w:r>
        <w:rPr>
          <w:sz w:val="28"/>
        </w:rPr>
        <w:t>округа</w:t>
      </w:r>
      <w:r w:rsidRPr="00925C95">
        <w:rPr>
          <w:sz w:val="28"/>
        </w:rPr>
        <w:t xml:space="preserve"> и контрольно – счетной палаты Новоселицкого муниципального округа,  на мероприятия по укреплению материально-технической базы учреждений, содержанию и ремонту муниципального имущества</w:t>
      </w:r>
      <w:r w:rsidRPr="002160FB">
        <w:rPr>
          <w:sz w:val="28"/>
        </w:rPr>
        <w:t>.</w:t>
      </w:r>
      <w:r>
        <w:rPr>
          <w:sz w:val="28"/>
        </w:rPr>
        <w:t xml:space="preserve"> </w:t>
      </w:r>
      <w:r w:rsidRPr="002160FB">
        <w:rPr>
          <w:sz w:val="28"/>
        </w:rPr>
        <w:t xml:space="preserve">Общий объем ассигнований на отчетную дату составляет </w:t>
      </w:r>
      <w:r>
        <w:rPr>
          <w:sz w:val="28"/>
        </w:rPr>
        <w:t>73 503,74</w:t>
      </w:r>
      <w:r w:rsidRPr="002160FB">
        <w:rPr>
          <w:sz w:val="28"/>
        </w:rPr>
        <w:t xml:space="preserve"> тыс. рублей,  что </w:t>
      </w:r>
      <w:r>
        <w:rPr>
          <w:sz w:val="28"/>
        </w:rPr>
        <w:t>меньше</w:t>
      </w:r>
      <w:r w:rsidRPr="002160FB">
        <w:rPr>
          <w:sz w:val="28"/>
        </w:rPr>
        <w:t xml:space="preserve"> первоначального плана на </w:t>
      </w:r>
      <w:r>
        <w:rPr>
          <w:sz w:val="28"/>
        </w:rPr>
        <w:t>12 410,64 тыс. рублей. И</w:t>
      </w:r>
      <w:r>
        <w:rPr>
          <w:sz w:val="28"/>
          <w:szCs w:val="28"/>
        </w:rPr>
        <w:t>зменения произошли за счет:</w:t>
      </w:r>
    </w:p>
    <w:p w:rsidR="0041424D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- </w:t>
      </w:r>
      <w:r w:rsidRPr="005822E1">
        <w:rPr>
          <w:sz w:val="28"/>
          <w:szCs w:val="28"/>
        </w:rPr>
        <w:t>направле</w:t>
      </w:r>
      <w:r>
        <w:rPr>
          <w:sz w:val="28"/>
          <w:szCs w:val="28"/>
        </w:rPr>
        <w:t>ния</w:t>
      </w:r>
      <w:r w:rsidRPr="005822E1">
        <w:rPr>
          <w:sz w:val="28"/>
          <w:szCs w:val="28"/>
        </w:rPr>
        <w:t xml:space="preserve">  остатка средств местного бюджета, сложившегося  по состоянию на 01.01.202</w:t>
      </w:r>
      <w:r>
        <w:rPr>
          <w:sz w:val="28"/>
          <w:szCs w:val="28"/>
        </w:rPr>
        <w:t>4</w:t>
      </w:r>
      <w:r w:rsidRPr="005822E1">
        <w:rPr>
          <w:sz w:val="28"/>
          <w:szCs w:val="28"/>
        </w:rPr>
        <w:t xml:space="preserve"> года на следующие мероприятия</w:t>
      </w:r>
      <w:r>
        <w:rPr>
          <w:sz w:val="28"/>
          <w:szCs w:val="28"/>
        </w:rPr>
        <w:t xml:space="preserve">: </w:t>
      </w:r>
      <w:r w:rsidRPr="005A5B30">
        <w:rPr>
          <w:sz w:val="28"/>
          <w:szCs w:val="28"/>
        </w:rPr>
        <w:t>изготовление и экспертиза проектно-сметной документации</w:t>
      </w:r>
      <w:r>
        <w:rPr>
          <w:sz w:val="28"/>
          <w:szCs w:val="28"/>
        </w:rPr>
        <w:t>, о</w:t>
      </w:r>
      <w:r w:rsidRPr="005A5B30">
        <w:rPr>
          <w:sz w:val="28"/>
          <w:szCs w:val="28"/>
        </w:rPr>
        <w:t>существление строительного контроля</w:t>
      </w:r>
      <w:r>
        <w:rPr>
          <w:sz w:val="28"/>
          <w:szCs w:val="28"/>
        </w:rPr>
        <w:t>, п</w:t>
      </w:r>
      <w:r w:rsidRPr="005A5B30">
        <w:rPr>
          <w:sz w:val="28"/>
          <w:szCs w:val="28"/>
        </w:rPr>
        <w:t>редоставление субсидий социально ориентированным некоммерческим организациям</w:t>
      </w:r>
      <w:r>
        <w:rPr>
          <w:sz w:val="28"/>
          <w:szCs w:val="28"/>
        </w:rPr>
        <w:t xml:space="preserve">, </w:t>
      </w:r>
      <w:r w:rsidRPr="005A5B30">
        <w:rPr>
          <w:sz w:val="28"/>
          <w:szCs w:val="28"/>
        </w:rPr>
        <w:t xml:space="preserve">на обеспечение пожарными </w:t>
      </w:r>
      <w:proofErr w:type="spellStart"/>
      <w:r w:rsidRPr="005A5B30">
        <w:rPr>
          <w:sz w:val="28"/>
          <w:szCs w:val="28"/>
        </w:rPr>
        <w:t>извещателями</w:t>
      </w:r>
      <w:proofErr w:type="spellEnd"/>
      <w:r w:rsidRPr="005A5B30">
        <w:rPr>
          <w:sz w:val="28"/>
          <w:szCs w:val="28"/>
        </w:rPr>
        <w:t xml:space="preserve"> отдельных категорий граждан</w:t>
      </w:r>
      <w:r>
        <w:rPr>
          <w:sz w:val="28"/>
          <w:szCs w:val="28"/>
        </w:rPr>
        <w:t xml:space="preserve">, на </w:t>
      </w:r>
      <w:r>
        <w:rPr>
          <w:rFonts w:eastAsia="Calibri"/>
          <w:sz w:val="28"/>
          <w:szCs w:val="28"/>
        </w:rPr>
        <w:t xml:space="preserve">сохранение памятников истории и культуры, </w:t>
      </w:r>
      <w:r w:rsidRPr="005A5B30">
        <w:rPr>
          <w:rFonts w:eastAsia="Calibri"/>
          <w:sz w:val="28"/>
          <w:szCs w:val="28"/>
        </w:rPr>
        <w:t xml:space="preserve"> преобразовани</w:t>
      </w:r>
      <w:r>
        <w:rPr>
          <w:rFonts w:eastAsia="Calibri"/>
          <w:sz w:val="28"/>
          <w:szCs w:val="28"/>
        </w:rPr>
        <w:t>е</w:t>
      </w:r>
      <w:r w:rsidRPr="005A5B30">
        <w:rPr>
          <w:rFonts w:eastAsia="Calibri"/>
          <w:sz w:val="28"/>
          <w:szCs w:val="28"/>
        </w:rPr>
        <w:t xml:space="preserve"> муниципальных образований Ставропольского края</w:t>
      </w:r>
      <w:r>
        <w:rPr>
          <w:rFonts w:eastAsia="Calibri"/>
          <w:sz w:val="28"/>
          <w:szCs w:val="28"/>
        </w:rPr>
        <w:t>, о</w:t>
      </w:r>
      <w:r w:rsidRPr="005A5B30">
        <w:rPr>
          <w:rFonts w:eastAsia="Calibri"/>
          <w:sz w:val="28"/>
          <w:szCs w:val="28"/>
        </w:rPr>
        <w:t>существление пассажирских перевозок по муниципальным маршрутам, приобретение, содержание и ремонт муниципального имущества, благоустройство территорий</w:t>
      </w:r>
      <w:proofErr w:type="gramEnd"/>
      <w:r w:rsidRPr="005A5B30">
        <w:rPr>
          <w:rFonts w:eastAsia="Calibri"/>
          <w:sz w:val="28"/>
          <w:szCs w:val="28"/>
        </w:rPr>
        <w:t xml:space="preserve"> муниципальных общеобразовательных организаций</w:t>
      </w:r>
      <w:r>
        <w:rPr>
          <w:rFonts w:eastAsia="Calibri"/>
          <w:sz w:val="28"/>
          <w:szCs w:val="28"/>
        </w:rPr>
        <w:t>;</w:t>
      </w:r>
    </w:p>
    <w:p w:rsidR="0041424D" w:rsidRDefault="0041424D" w:rsidP="00414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дополнительно выделенных бюджетных средств  на повышение заработной платы муниципальных служащих  и работникам муниципальных учреждений, </w:t>
      </w:r>
    </w:p>
    <w:p w:rsidR="0041424D" w:rsidRPr="002E2CB1" w:rsidRDefault="0041424D" w:rsidP="0041424D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2E2CB1">
        <w:rPr>
          <w:rFonts w:eastAsia="Calibri"/>
          <w:sz w:val="28"/>
          <w:szCs w:val="28"/>
        </w:rPr>
        <w:t xml:space="preserve">- </w:t>
      </w:r>
      <w:r w:rsidRPr="002E2CB1">
        <w:rPr>
          <w:sz w:val="28"/>
          <w:szCs w:val="28"/>
        </w:rPr>
        <w:t xml:space="preserve">дополнительно выделенных </w:t>
      </w:r>
      <w:r w:rsidRPr="002E2CB1">
        <w:rPr>
          <w:rFonts w:eastAsia="Calibri"/>
          <w:sz w:val="28"/>
          <w:szCs w:val="28"/>
        </w:rPr>
        <w:t>межбюджетных трансфертов из  краевого бюджета на осуществление выплат лицам, входящим в муниципальные управленческие команды Ставропольского края в 202</w:t>
      </w:r>
      <w:r>
        <w:rPr>
          <w:rFonts w:eastAsia="Calibri"/>
          <w:sz w:val="28"/>
          <w:szCs w:val="28"/>
        </w:rPr>
        <w:t>3</w:t>
      </w:r>
      <w:r w:rsidRPr="002E2CB1">
        <w:rPr>
          <w:rFonts w:eastAsia="Calibri"/>
          <w:sz w:val="28"/>
          <w:szCs w:val="28"/>
        </w:rPr>
        <w:t xml:space="preserve"> году;</w:t>
      </w:r>
    </w:p>
    <w:p w:rsidR="0041424D" w:rsidRPr="00071C49" w:rsidRDefault="0041424D" w:rsidP="0041424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перераспределения бюджетных ассигнований средств местного бюджета между </w:t>
      </w:r>
      <w:proofErr w:type="spellStart"/>
      <w:r>
        <w:rPr>
          <w:rFonts w:eastAsia="Calibri"/>
          <w:sz w:val="28"/>
          <w:szCs w:val="28"/>
        </w:rPr>
        <w:t>непрограммными</w:t>
      </w:r>
      <w:proofErr w:type="spellEnd"/>
      <w:r>
        <w:rPr>
          <w:rFonts w:eastAsia="Calibri"/>
          <w:sz w:val="28"/>
          <w:szCs w:val="28"/>
        </w:rPr>
        <w:t xml:space="preserve"> и программными мероприятиями.</w:t>
      </w:r>
    </w:p>
    <w:p w:rsidR="0041424D" w:rsidRPr="0020528B" w:rsidRDefault="0041424D" w:rsidP="0041424D">
      <w:pPr>
        <w:ind w:firstLine="567"/>
        <w:jc w:val="both"/>
        <w:rPr>
          <w:sz w:val="28"/>
          <w:szCs w:val="28"/>
        </w:rPr>
      </w:pPr>
      <w:r w:rsidRPr="002160FB">
        <w:rPr>
          <w:sz w:val="28"/>
        </w:rPr>
        <w:t xml:space="preserve">Кассовое исполнение на отчетную дату составило  </w:t>
      </w:r>
      <w:r>
        <w:rPr>
          <w:sz w:val="28"/>
        </w:rPr>
        <w:t>71 689,79</w:t>
      </w:r>
      <w:r w:rsidRPr="002160FB">
        <w:rPr>
          <w:sz w:val="28"/>
        </w:rPr>
        <w:t xml:space="preserve"> тыс. рублей, или </w:t>
      </w:r>
      <w:r>
        <w:rPr>
          <w:sz w:val="28"/>
        </w:rPr>
        <w:t>97,53</w:t>
      </w:r>
      <w:r w:rsidRPr="002160FB">
        <w:rPr>
          <w:sz w:val="28"/>
        </w:rPr>
        <w:t>% к годовому уточненному плану.</w:t>
      </w:r>
    </w:p>
    <w:p w:rsidR="0041424D" w:rsidRDefault="0041424D" w:rsidP="0041424D">
      <w:pPr>
        <w:ind w:firstLine="567"/>
        <w:jc w:val="both"/>
        <w:rPr>
          <w:sz w:val="28"/>
          <w:szCs w:val="28"/>
        </w:rPr>
      </w:pPr>
    </w:p>
    <w:p w:rsidR="0041424D" w:rsidRDefault="0041424D" w:rsidP="0041424D">
      <w:pPr>
        <w:ind w:firstLine="567"/>
        <w:jc w:val="both"/>
        <w:rPr>
          <w:sz w:val="28"/>
          <w:szCs w:val="28"/>
        </w:rPr>
      </w:pPr>
    </w:p>
    <w:p w:rsidR="0041424D" w:rsidRPr="001D6005" w:rsidRDefault="0041424D" w:rsidP="0041424D">
      <w:pPr>
        <w:spacing w:line="240" w:lineRule="exact"/>
        <w:ind w:right="-1"/>
        <w:rPr>
          <w:sz w:val="28"/>
          <w:szCs w:val="28"/>
        </w:rPr>
      </w:pPr>
      <w:r w:rsidRPr="001D6005">
        <w:rPr>
          <w:sz w:val="28"/>
          <w:szCs w:val="28"/>
        </w:rPr>
        <w:t xml:space="preserve">Начальник финансового управления  </w:t>
      </w:r>
      <w:r>
        <w:rPr>
          <w:sz w:val="28"/>
          <w:szCs w:val="28"/>
        </w:rPr>
        <w:t xml:space="preserve">  </w:t>
      </w:r>
      <w:r w:rsidRPr="001D6005">
        <w:rPr>
          <w:sz w:val="28"/>
          <w:szCs w:val="28"/>
        </w:rPr>
        <w:t xml:space="preserve">                                               </w:t>
      </w:r>
      <w:proofErr w:type="spellStart"/>
      <w:r w:rsidRPr="001D6005">
        <w:rPr>
          <w:sz w:val="28"/>
          <w:szCs w:val="28"/>
        </w:rPr>
        <w:t>Я.Э.Хачиян</w:t>
      </w:r>
      <w:proofErr w:type="spellEnd"/>
    </w:p>
    <w:p w:rsidR="0041424D" w:rsidRPr="001D6005" w:rsidRDefault="0041424D" w:rsidP="0041424D">
      <w:pPr>
        <w:ind w:right="-1"/>
        <w:jc w:val="both"/>
        <w:rPr>
          <w:sz w:val="28"/>
          <w:szCs w:val="28"/>
        </w:rPr>
      </w:pPr>
    </w:p>
    <w:p w:rsidR="004C713B" w:rsidRPr="00FF01B4" w:rsidRDefault="004C713B" w:rsidP="0041424D">
      <w:pPr>
        <w:ind w:firstLine="708"/>
        <w:jc w:val="both"/>
        <w:rPr>
          <w:sz w:val="28"/>
          <w:szCs w:val="28"/>
        </w:rPr>
      </w:pPr>
    </w:p>
    <w:sectPr w:rsidR="004C713B" w:rsidRPr="00FF01B4" w:rsidSect="0099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90C"/>
    <w:rsid w:val="00002B5F"/>
    <w:rsid w:val="0000534C"/>
    <w:rsid w:val="0001393B"/>
    <w:rsid w:val="00014764"/>
    <w:rsid w:val="00017E51"/>
    <w:rsid w:val="000254C6"/>
    <w:rsid w:val="000256F5"/>
    <w:rsid w:val="0003781D"/>
    <w:rsid w:val="00041504"/>
    <w:rsid w:val="00051D24"/>
    <w:rsid w:val="00063160"/>
    <w:rsid w:val="000635D2"/>
    <w:rsid w:val="00070926"/>
    <w:rsid w:val="000716B1"/>
    <w:rsid w:val="000727E7"/>
    <w:rsid w:val="00082324"/>
    <w:rsid w:val="00085093"/>
    <w:rsid w:val="00085855"/>
    <w:rsid w:val="000929A1"/>
    <w:rsid w:val="00093BB1"/>
    <w:rsid w:val="00094D2A"/>
    <w:rsid w:val="0009657E"/>
    <w:rsid w:val="000A033D"/>
    <w:rsid w:val="000A2757"/>
    <w:rsid w:val="000A75C0"/>
    <w:rsid w:val="000B7B21"/>
    <w:rsid w:val="000B7F39"/>
    <w:rsid w:val="000C0058"/>
    <w:rsid w:val="000E1B40"/>
    <w:rsid w:val="000E50E0"/>
    <w:rsid w:val="000E52F2"/>
    <w:rsid w:val="000F06ED"/>
    <w:rsid w:val="000F76FA"/>
    <w:rsid w:val="000F77A2"/>
    <w:rsid w:val="000F7FE1"/>
    <w:rsid w:val="00103547"/>
    <w:rsid w:val="00114678"/>
    <w:rsid w:val="00116398"/>
    <w:rsid w:val="0011714C"/>
    <w:rsid w:val="001206FC"/>
    <w:rsid w:val="001258A4"/>
    <w:rsid w:val="001363C9"/>
    <w:rsid w:val="00141136"/>
    <w:rsid w:val="0014592B"/>
    <w:rsid w:val="00154E6F"/>
    <w:rsid w:val="00154F00"/>
    <w:rsid w:val="001602C5"/>
    <w:rsid w:val="001647B4"/>
    <w:rsid w:val="00166FB7"/>
    <w:rsid w:val="00171D36"/>
    <w:rsid w:val="0017349C"/>
    <w:rsid w:val="00175388"/>
    <w:rsid w:val="00175463"/>
    <w:rsid w:val="001845E5"/>
    <w:rsid w:val="00185687"/>
    <w:rsid w:val="00185FE0"/>
    <w:rsid w:val="00192AA0"/>
    <w:rsid w:val="001961E3"/>
    <w:rsid w:val="00197F5E"/>
    <w:rsid w:val="001A18DB"/>
    <w:rsid w:val="001A2868"/>
    <w:rsid w:val="001A7EE6"/>
    <w:rsid w:val="001B0AC1"/>
    <w:rsid w:val="001B21E8"/>
    <w:rsid w:val="001B6C68"/>
    <w:rsid w:val="001C1841"/>
    <w:rsid w:val="001C717F"/>
    <w:rsid w:val="001C7B56"/>
    <w:rsid w:val="001E5CB6"/>
    <w:rsid w:val="001F1468"/>
    <w:rsid w:val="001F3336"/>
    <w:rsid w:val="0020528B"/>
    <w:rsid w:val="002150C7"/>
    <w:rsid w:val="002363E8"/>
    <w:rsid w:val="002425DD"/>
    <w:rsid w:val="002446A0"/>
    <w:rsid w:val="002457C3"/>
    <w:rsid w:val="00245962"/>
    <w:rsid w:val="00254061"/>
    <w:rsid w:val="00256152"/>
    <w:rsid w:val="00274752"/>
    <w:rsid w:val="00276188"/>
    <w:rsid w:val="00276B87"/>
    <w:rsid w:val="00281512"/>
    <w:rsid w:val="00286B78"/>
    <w:rsid w:val="002A2609"/>
    <w:rsid w:val="002A4CE0"/>
    <w:rsid w:val="002A618A"/>
    <w:rsid w:val="002A72A4"/>
    <w:rsid w:val="002C12C9"/>
    <w:rsid w:val="002C2CFF"/>
    <w:rsid w:val="002C3542"/>
    <w:rsid w:val="002C4138"/>
    <w:rsid w:val="002C4A3C"/>
    <w:rsid w:val="002D7E44"/>
    <w:rsid w:val="002E2402"/>
    <w:rsid w:val="002F07E5"/>
    <w:rsid w:val="002F212B"/>
    <w:rsid w:val="002F297F"/>
    <w:rsid w:val="002F69F0"/>
    <w:rsid w:val="002F7C0C"/>
    <w:rsid w:val="003010CF"/>
    <w:rsid w:val="003016AB"/>
    <w:rsid w:val="0031102C"/>
    <w:rsid w:val="003139E3"/>
    <w:rsid w:val="00314E0A"/>
    <w:rsid w:val="00317815"/>
    <w:rsid w:val="003205B4"/>
    <w:rsid w:val="00331D8A"/>
    <w:rsid w:val="00334D53"/>
    <w:rsid w:val="003400F1"/>
    <w:rsid w:val="00340E85"/>
    <w:rsid w:val="0034437C"/>
    <w:rsid w:val="00355A08"/>
    <w:rsid w:val="00356763"/>
    <w:rsid w:val="003708D9"/>
    <w:rsid w:val="0037351B"/>
    <w:rsid w:val="00375ECD"/>
    <w:rsid w:val="003834FB"/>
    <w:rsid w:val="0038560E"/>
    <w:rsid w:val="00394D84"/>
    <w:rsid w:val="003962C7"/>
    <w:rsid w:val="00397607"/>
    <w:rsid w:val="003A2356"/>
    <w:rsid w:val="003A7D20"/>
    <w:rsid w:val="003B202D"/>
    <w:rsid w:val="003B3FE3"/>
    <w:rsid w:val="003C066F"/>
    <w:rsid w:val="003C148A"/>
    <w:rsid w:val="003C4800"/>
    <w:rsid w:val="003C4A66"/>
    <w:rsid w:val="003C4B9B"/>
    <w:rsid w:val="003C530E"/>
    <w:rsid w:val="003C6E16"/>
    <w:rsid w:val="003D7B36"/>
    <w:rsid w:val="003E11D5"/>
    <w:rsid w:val="003E44FC"/>
    <w:rsid w:val="003E66FD"/>
    <w:rsid w:val="003F10A3"/>
    <w:rsid w:val="0040445D"/>
    <w:rsid w:val="00410635"/>
    <w:rsid w:val="00410ACD"/>
    <w:rsid w:val="00412F64"/>
    <w:rsid w:val="00412FE6"/>
    <w:rsid w:val="00413C34"/>
    <w:rsid w:val="0041424D"/>
    <w:rsid w:val="00414B3F"/>
    <w:rsid w:val="00417406"/>
    <w:rsid w:val="00423443"/>
    <w:rsid w:val="00426A69"/>
    <w:rsid w:val="00426EC7"/>
    <w:rsid w:val="00427691"/>
    <w:rsid w:val="00442343"/>
    <w:rsid w:val="00450AC7"/>
    <w:rsid w:val="004516D2"/>
    <w:rsid w:val="0045373D"/>
    <w:rsid w:val="00453837"/>
    <w:rsid w:val="00463D9F"/>
    <w:rsid w:val="00464073"/>
    <w:rsid w:val="0047515A"/>
    <w:rsid w:val="0047793C"/>
    <w:rsid w:val="00481DBB"/>
    <w:rsid w:val="0048380A"/>
    <w:rsid w:val="00485343"/>
    <w:rsid w:val="00485442"/>
    <w:rsid w:val="00486796"/>
    <w:rsid w:val="004917E7"/>
    <w:rsid w:val="004929D7"/>
    <w:rsid w:val="00496425"/>
    <w:rsid w:val="004A0D3E"/>
    <w:rsid w:val="004A2F7D"/>
    <w:rsid w:val="004A4F25"/>
    <w:rsid w:val="004A6CCB"/>
    <w:rsid w:val="004A6EE4"/>
    <w:rsid w:val="004B4DFD"/>
    <w:rsid w:val="004B5C99"/>
    <w:rsid w:val="004B7463"/>
    <w:rsid w:val="004C00EA"/>
    <w:rsid w:val="004C26EB"/>
    <w:rsid w:val="004C713B"/>
    <w:rsid w:val="004D57E1"/>
    <w:rsid w:val="004D5A9A"/>
    <w:rsid w:val="004E1296"/>
    <w:rsid w:val="004E3910"/>
    <w:rsid w:val="004E4CF6"/>
    <w:rsid w:val="004F03A9"/>
    <w:rsid w:val="004F297E"/>
    <w:rsid w:val="004F561A"/>
    <w:rsid w:val="00501159"/>
    <w:rsid w:val="00511FC8"/>
    <w:rsid w:val="00517221"/>
    <w:rsid w:val="00520836"/>
    <w:rsid w:val="00523F1D"/>
    <w:rsid w:val="00524DA0"/>
    <w:rsid w:val="00540B29"/>
    <w:rsid w:val="00542BF6"/>
    <w:rsid w:val="005433FC"/>
    <w:rsid w:val="00544CDA"/>
    <w:rsid w:val="00553FC2"/>
    <w:rsid w:val="00554459"/>
    <w:rsid w:val="0055656F"/>
    <w:rsid w:val="00560169"/>
    <w:rsid w:val="00565C24"/>
    <w:rsid w:val="005709AA"/>
    <w:rsid w:val="00570CCE"/>
    <w:rsid w:val="00573A74"/>
    <w:rsid w:val="00576192"/>
    <w:rsid w:val="00576788"/>
    <w:rsid w:val="0057685D"/>
    <w:rsid w:val="00582549"/>
    <w:rsid w:val="0058279F"/>
    <w:rsid w:val="00590A34"/>
    <w:rsid w:val="005A025C"/>
    <w:rsid w:val="005A03DB"/>
    <w:rsid w:val="005A17CB"/>
    <w:rsid w:val="005A4A3B"/>
    <w:rsid w:val="005B7482"/>
    <w:rsid w:val="005C2C04"/>
    <w:rsid w:val="005C50B4"/>
    <w:rsid w:val="005D15D6"/>
    <w:rsid w:val="005D267B"/>
    <w:rsid w:val="005D3A5D"/>
    <w:rsid w:val="005D3DA8"/>
    <w:rsid w:val="005E0444"/>
    <w:rsid w:val="005F7FD9"/>
    <w:rsid w:val="00600841"/>
    <w:rsid w:val="00603E52"/>
    <w:rsid w:val="00604267"/>
    <w:rsid w:val="00604B6D"/>
    <w:rsid w:val="00606A6C"/>
    <w:rsid w:val="006129E8"/>
    <w:rsid w:val="00615D4A"/>
    <w:rsid w:val="00620428"/>
    <w:rsid w:val="006242BC"/>
    <w:rsid w:val="00625122"/>
    <w:rsid w:val="00631F4E"/>
    <w:rsid w:val="006360BD"/>
    <w:rsid w:val="00637EF8"/>
    <w:rsid w:val="0064639F"/>
    <w:rsid w:val="00646A67"/>
    <w:rsid w:val="006505CB"/>
    <w:rsid w:val="006563C4"/>
    <w:rsid w:val="006572D6"/>
    <w:rsid w:val="00660615"/>
    <w:rsid w:val="006607C9"/>
    <w:rsid w:val="0066237C"/>
    <w:rsid w:val="00666093"/>
    <w:rsid w:val="00670705"/>
    <w:rsid w:val="00671C08"/>
    <w:rsid w:val="0067742A"/>
    <w:rsid w:val="006909C8"/>
    <w:rsid w:val="006A044D"/>
    <w:rsid w:val="006B4EA1"/>
    <w:rsid w:val="006B7701"/>
    <w:rsid w:val="006B7C96"/>
    <w:rsid w:val="006C158F"/>
    <w:rsid w:val="006C1AD5"/>
    <w:rsid w:val="006C33EE"/>
    <w:rsid w:val="006C6A8C"/>
    <w:rsid w:val="006D744F"/>
    <w:rsid w:val="006E0CEE"/>
    <w:rsid w:val="006E76CA"/>
    <w:rsid w:val="006F077B"/>
    <w:rsid w:val="007052B4"/>
    <w:rsid w:val="00706402"/>
    <w:rsid w:val="007132AE"/>
    <w:rsid w:val="00720D90"/>
    <w:rsid w:val="007230FA"/>
    <w:rsid w:val="007240C0"/>
    <w:rsid w:val="007244F0"/>
    <w:rsid w:val="00730CE4"/>
    <w:rsid w:val="007324CF"/>
    <w:rsid w:val="0073535C"/>
    <w:rsid w:val="00745C09"/>
    <w:rsid w:val="00745E70"/>
    <w:rsid w:val="0075381D"/>
    <w:rsid w:val="00753956"/>
    <w:rsid w:val="00764C31"/>
    <w:rsid w:val="007909B5"/>
    <w:rsid w:val="00793E30"/>
    <w:rsid w:val="007942C9"/>
    <w:rsid w:val="007A1C1F"/>
    <w:rsid w:val="007B5EAC"/>
    <w:rsid w:val="007C219B"/>
    <w:rsid w:val="007C30B4"/>
    <w:rsid w:val="007C65CB"/>
    <w:rsid w:val="007D2EEE"/>
    <w:rsid w:val="007D3AAA"/>
    <w:rsid w:val="007E0F55"/>
    <w:rsid w:val="007E4C15"/>
    <w:rsid w:val="007E59F3"/>
    <w:rsid w:val="007E6F7A"/>
    <w:rsid w:val="007F2E96"/>
    <w:rsid w:val="007F3347"/>
    <w:rsid w:val="007F4E6B"/>
    <w:rsid w:val="007F72D5"/>
    <w:rsid w:val="00800B3B"/>
    <w:rsid w:val="00801CB9"/>
    <w:rsid w:val="00805EED"/>
    <w:rsid w:val="008101E0"/>
    <w:rsid w:val="00816E33"/>
    <w:rsid w:val="00817E13"/>
    <w:rsid w:val="00822EA9"/>
    <w:rsid w:val="008234DE"/>
    <w:rsid w:val="008306CA"/>
    <w:rsid w:val="00852982"/>
    <w:rsid w:val="00853832"/>
    <w:rsid w:val="00855BEF"/>
    <w:rsid w:val="008630F6"/>
    <w:rsid w:val="00863D43"/>
    <w:rsid w:val="00867E28"/>
    <w:rsid w:val="00871B3F"/>
    <w:rsid w:val="00873963"/>
    <w:rsid w:val="008744EF"/>
    <w:rsid w:val="008803C0"/>
    <w:rsid w:val="00881F04"/>
    <w:rsid w:val="00882672"/>
    <w:rsid w:val="00883BAB"/>
    <w:rsid w:val="00890212"/>
    <w:rsid w:val="00895E79"/>
    <w:rsid w:val="00896E2E"/>
    <w:rsid w:val="008A04E6"/>
    <w:rsid w:val="008A16D2"/>
    <w:rsid w:val="008A1BB3"/>
    <w:rsid w:val="008A3CCE"/>
    <w:rsid w:val="008A4F04"/>
    <w:rsid w:val="008A6986"/>
    <w:rsid w:val="008B31A5"/>
    <w:rsid w:val="008C0146"/>
    <w:rsid w:val="008C1C80"/>
    <w:rsid w:val="008C433A"/>
    <w:rsid w:val="008C6368"/>
    <w:rsid w:val="008C76B7"/>
    <w:rsid w:val="008D2093"/>
    <w:rsid w:val="008D603E"/>
    <w:rsid w:val="008E13BB"/>
    <w:rsid w:val="008E1428"/>
    <w:rsid w:val="008E18D1"/>
    <w:rsid w:val="008E1C19"/>
    <w:rsid w:val="008E5EB0"/>
    <w:rsid w:val="008F72D6"/>
    <w:rsid w:val="00905C0B"/>
    <w:rsid w:val="00906534"/>
    <w:rsid w:val="00907A6C"/>
    <w:rsid w:val="00912B60"/>
    <w:rsid w:val="00912CB2"/>
    <w:rsid w:val="00920EFB"/>
    <w:rsid w:val="00923B35"/>
    <w:rsid w:val="009321D0"/>
    <w:rsid w:val="00933174"/>
    <w:rsid w:val="00952684"/>
    <w:rsid w:val="00960459"/>
    <w:rsid w:val="00962BDE"/>
    <w:rsid w:val="00966119"/>
    <w:rsid w:val="00975049"/>
    <w:rsid w:val="00983120"/>
    <w:rsid w:val="00985A49"/>
    <w:rsid w:val="00992BF3"/>
    <w:rsid w:val="0099429F"/>
    <w:rsid w:val="009A18A5"/>
    <w:rsid w:val="009A2377"/>
    <w:rsid w:val="009A2EA0"/>
    <w:rsid w:val="009A7731"/>
    <w:rsid w:val="009B00B4"/>
    <w:rsid w:val="009B0110"/>
    <w:rsid w:val="009C3E60"/>
    <w:rsid w:val="009C7590"/>
    <w:rsid w:val="009D1598"/>
    <w:rsid w:val="009E18B9"/>
    <w:rsid w:val="009E2143"/>
    <w:rsid w:val="009E3603"/>
    <w:rsid w:val="009E765F"/>
    <w:rsid w:val="009F121A"/>
    <w:rsid w:val="009F3950"/>
    <w:rsid w:val="009F42AB"/>
    <w:rsid w:val="009F6506"/>
    <w:rsid w:val="00A000E8"/>
    <w:rsid w:val="00A035EE"/>
    <w:rsid w:val="00A05530"/>
    <w:rsid w:val="00A07720"/>
    <w:rsid w:val="00A10834"/>
    <w:rsid w:val="00A10C2A"/>
    <w:rsid w:val="00A34E41"/>
    <w:rsid w:val="00A3579B"/>
    <w:rsid w:val="00A4113E"/>
    <w:rsid w:val="00A41232"/>
    <w:rsid w:val="00A44ED9"/>
    <w:rsid w:val="00A467F9"/>
    <w:rsid w:val="00A50E1F"/>
    <w:rsid w:val="00A511A1"/>
    <w:rsid w:val="00A6177E"/>
    <w:rsid w:val="00A63AC9"/>
    <w:rsid w:val="00A674AC"/>
    <w:rsid w:val="00A70EDD"/>
    <w:rsid w:val="00A7263D"/>
    <w:rsid w:val="00A753D4"/>
    <w:rsid w:val="00A76072"/>
    <w:rsid w:val="00A80418"/>
    <w:rsid w:val="00A80AC2"/>
    <w:rsid w:val="00A87190"/>
    <w:rsid w:val="00A9134D"/>
    <w:rsid w:val="00A91699"/>
    <w:rsid w:val="00A92F19"/>
    <w:rsid w:val="00A93139"/>
    <w:rsid w:val="00A95CA1"/>
    <w:rsid w:val="00A976AE"/>
    <w:rsid w:val="00AA27D7"/>
    <w:rsid w:val="00AA614D"/>
    <w:rsid w:val="00AB35B7"/>
    <w:rsid w:val="00AB7009"/>
    <w:rsid w:val="00AC4B87"/>
    <w:rsid w:val="00AD16DC"/>
    <w:rsid w:val="00AD76FE"/>
    <w:rsid w:val="00AE7009"/>
    <w:rsid w:val="00AF40AA"/>
    <w:rsid w:val="00AF6B42"/>
    <w:rsid w:val="00B02873"/>
    <w:rsid w:val="00B02ECC"/>
    <w:rsid w:val="00B15AFE"/>
    <w:rsid w:val="00B171BA"/>
    <w:rsid w:val="00B34C8B"/>
    <w:rsid w:val="00B448D7"/>
    <w:rsid w:val="00B47195"/>
    <w:rsid w:val="00B568AE"/>
    <w:rsid w:val="00B63C31"/>
    <w:rsid w:val="00B713A1"/>
    <w:rsid w:val="00B74BAA"/>
    <w:rsid w:val="00B91F5B"/>
    <w:rsid w:val="00B934AB"/>
    <w:rsid w:val="00B94C5A"/>
    <w:rsid w:val="00BA2160"/>
    <w:rsid w:val="00BB3ED6"/>
    <w:rsid w:val="00BB667A"/>
    <w:rsid w:val="00BB6F2E"/>
    <w:rsid w:val="00BC290C"/>
    <w:rsid w:val="00BC7A39"/>
    <w:rsid w:val="00BD3EC8"/>
    <w:rsid w:val="00BE0639"/>
    <w:rsid w:val="00BE135E"/>
    <w:rsid w:val="00BE667A"/>
    <w:rsid w:val="00BF19FC"/>
    <w:rsid w:val="00C0217D"/>
    <w:rsid w:val="00C0274A"/>
    <w:rsid w:val="00C165F7"/>
    <w:rsid w:val="00C174A8"/>
    <w:rsid w:val="00C222B8"/>
    <w:rsid w:val="00C37E4F"/>
    <w:rsid w:val="00C43963"/>
    <w:rsid w:val="00C43EA9"/>
    <w:rsid w:val="00C44563"/>
    <w:rsid w:val="00C500CC"/>
    <w:rsid w:val="00C51C69"/>
    <w:rsid w:val="00C56534"/>
    <w:rsid w:val="00C57C22"/>
    <w:rsid w:val="00C6482E"/>
    <w:rsid w:val="00C75D1B"/>
    <w:rsid w:val="00C8300D"/>
    <w:rsid w:val="00C8717B"/>
    <w:rsid w:val="00C90EC5"/>
    <w:rsid w:val="00C920D8"/>
    <w:rsid w:val="00C93B23"/>
    <w:rsid w:val="00C94BBB"/>
    <w:rsid w:val="00CA134F"/>
    <w:rsid w:val="00CA388A"/>
    <w:rsid w:val="00CA4292"/>
    <w:rsid w:val="00CA4E70"/>
    <w:rsid w:val="00CB6B73"/>
    <w:rsid w:val="00CB7B26"/>
    <w:rsid w:val="00CD3464"/>
    <w:rsid w:val="00CD47FD"/>
    <w:rsid w:val="00CD5237"/>
    <w:rsid w:val="00CD743A"/>
    <w:rsid w:val="00CE04CB"/>
    <w:rsid w:val="00CE32BC"/>
    <w:rsid w:val="00CE3BD6"/>
    <w:rsid w:val="00CF1C85"/>
    <w:rsid w:val="00D11E7A"/>
    <w:rsid w:val="00D12CE5"/>
    <w:rsid w:val="00D13D2F"/>
    <w:rsid w:val="00D15A7E"/>
    <w:rsid w:val="00D167BB"/>
    <w:rsid w:val="00D1729F"/>
    <w:rsid w:val="00D228E5"/>
    <w:rsid w:val="00D24329"/>
    <w:rsid w:val="00D26017"/>
    <w:rsid w:val="00D26CD8"/>
    <w:rsid w:val="00D27DE7"/>
    <w:rsid w:val="00D31CA0"/>
    <w:rsid w:val="00D33BC7"/>
    <w:rsid w:val="00D37F5D"/>
    <w:rsid w:val="00D445ED"/>
    <w:rsid w:val="00D45730"/>
    <w:rsid w:val="00D47B15"/>
    <w:rsid w:val="00D501DC"/>
    <w:rsid w:val="00D56CF6"/>
    <w:rsid w:val="00D5785E"/>
    <w:rsid w:val="00D644D3"/>
    <w:rsid w:val="00D6709B"/>
    <w:rsid w:val="00D73922"/>
    <w:rsid w:val="00D76D01"/>
    <w:rsid w:val="00D80E67"/>
    <w:rsid w:val="00D8264D"/>
    <w:rsid w:val="00D867E6"/>
    <w:rsid w:val="00D93E39"/>
    <w:rsid w:val="00D94AA7"/>
    <w:rsid w:val="00DA1380"/>
    <w:rsid w:val="00DA2947"/>
    <w:rsid w:val="00DA5122"/>
    <w:rsid w:val="00DB10E8"/>
    <w:rsid w:val="00DB4E17"/>
    <w:rsid w:val="00DB6B3B"/>
    <w:rsid w:val="00DC1627"/>
    <w:rsid w:val="00DC5C80"/>
    <w:rsid w:val="00DD340D"/>
    <w:rsid w:val="00DE7AC3"/>
    <w:rsid w:val="00DF0395"/>
    <w:rsid w:val="00DF5004"/>
    <w:rsid w:val="00E0085E"/>
    <w:rsid w:val="00E0099D"/>
    <w:rsid w:val="00E03778"/>
    <w:rsid w:val="00E05EC0"/>
    <w:rsid w:val="00E10F26"/>
    <w:rsid w:val="00E112D6"/>
    <w:rsid w:val="00E115AF"/>
    <w:rsid w:val="00E1647D"/>
    <w:rsid w:val="00E16591"/>
    <w:rsid w:val="00E171C0"/>
    <w:rsid w:val="00E21D2B"/>
    <w:rsid w:val="00E2360C"/>
    <w:rsid w:val="00E27CBA"/>
    <w:rsid w:val="00E30856"/>
    <w:rsid w:val="00E30C2A"/>
    <w:rsid w:val="00E32BD2"/>
    <w:rsid w:val="00E365A0"/>
    <w:rsid w:val="00E36CB7"/>
    <w:rsid w:val="00E37F78"/>
    <w:rsid w:val="00E5190B"/>
    <w:rsid w:val="00E559E4"/>
    <w:rsid w:val="00E5693D"/>
    <w:rsid w:val="00E56B84"/>
    <w:rsid w:val="00E63D3C"/>
    <w:rsid w:val="00E6789F"/>
    <w:rsid w:val="00E7435B"/>
    <w:rsid w:val="00E74914"/>
    <w:rsid w:val="00E81166"/>
    <w:rsid w:val="00E83446"/>
    <w:rsid w:val="00E8404D"/>
    <w:rsid w:val="00E9165D"/>
    <w:rsid w:val="00E93017"/>
    <w:rsid w:val="00E9485D"/>
    <w:rsid w:val="00EA05EE"/>
    <w:rsid w:val="00EA29F0"/>
    <w:rsid w:val="00EB48E8"/>
    <w:rsid w:val="00EC31DB"/>
    <w:rsid w:val="00EC754F"/>
    <w:rsid w:val="00ED53CC"/>
    <w:rsid w:val="00EE59AD"/>
    <w:rsid w:val="00EF78E2"/>
    <w:rsid w:val="00F021E9"/>
    <w:rsid w:val="00F16F14"/>
    <w:rsid w:val="00F23926"/>
    <w:rsid w:val="00F26A69"/>
    <w:rsid w:val="00F27257"/>
    <w:rsid w:val="00F319C8"/>
    <w:rsid w:val="00F3631D"/>
    <w:rsid w:val="00F477F5"/>
    <w:rsid w:val="00F55E46"/>
    <w:rsid w:val="00F57267"/>
    <w:rsid w:val="00F63C79"/>
    <w:rsid w:val="00F648DD"/>
    <w:rsid w:val="00F663A4"/>
    <w:rsid w:val="00F670A6"/>
    <w:rsid w:val="00F72603"/>
    <w:rsid w:val="00F758B9"/>
    <w:rsid w:val="00F76372"/>
    <w:rsid w:val="00F833FF"/>
    <w:rsid w:val="00F834D2"/>
    <w:rsid w:val="00F8366F"/>
    <w:rsid w:val="00F85602"/>
    <w:rsid w:val="00F8692B"/>
    <w:rsid w:val="00F92958"/>
    <w:rsid w:val="00F97A74"/>
    <w:rsid w:val="00FA27E3"/>
    <w:rsid w:val="00FA5111"/>
    <w:rsid w:val="00FB7855"/>
    <w:rsid w:val="00FC2F4D"/>
    <w:rsid w:val="00FD1681"/>
    <w:rsid w:val="00FD1D77"/>
    <w:rsid w:val="00FD6809"/>
    <w:rsid w:val="00FD7C2A"/>
    <w:rsid w:val="00FE05EB"/>
    <w:rsid w:val="00FE1D4C"/>
    <w:rsid w:val="00FF01B4"/>
    <w:rsid w:val="00FF11AB"/>
    <w:rsid w:val="00FF227C"/>
    <w:rsid w:val="00FF388F"/>
    <w:rsid w:val="00FF7209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4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4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CA54-5C2A-48A0-AA73-31E3F794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</TotalTime>
  <Pages>11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Главный Бухгалтер</cp:lastModifiedBy>
  <cp:revision>252</cp:revision>
  <cp:lastPrinted>2025-03-27T05:50:00Z</cp:lastPrinted>
  <dcterms:created xsi:type="dcterms:W3CDTF">2020-03-19T12:22:00Z</dcterms:created>
  <dcterms:modified xsi:type="dcterms:W3CDTF">2025-03-27T05:50:00Z</dcterms:modified>
</cp:coreProperties>
</file>