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E75AF8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D5C">
        <w:rPr>
          <w:sz w:val="28"/>
          <w:szCs w:val="28"/>
        </w:rPr>
        <w:t>21.07.</w:t>
      </w:r>
      <w:r w:rsidR="002B51E8">
        <w:rPr>
          <w:sz w:val="28"/>
          <w:szCs w:val="28"/>
        </w:rPr>
        <w:t>202</w:t>
      </w:r>
      <w:r w:rsidR="00D45901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</w:t>
      </w:r>
      <w:r w:rsidR="000F7D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 Новоселицкое                                      </w:t>
      </w:r>
      <w:r w:rsidR="002B51E8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0F7D5C">
        <w:rPr>
          <w:sz w:val="28"/>
          <w:szCs w:val="28"/>
        </w:rPr>
        <w:t>426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0E1F5E" w:rsidRPr="000E1F5E" w:rsidRDefault="007237E3" w:rsidP="000F7D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рофессиям рабочих, утвержденное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17 декабря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2020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73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Pr="000E1F5E" w:rsidRDefault="00162339" w:rsidP="000F7D5C">
      <w:pPr>
        <w:pStyle w:val="ConsPlusNormal"/>
        <w:jc w:val="both"/>
      </w:pPr>
    </w:p>
    <w:p w:rsidR="00A5141D" w:rsidRDefault="000271F4" w:rsidP="000F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339" w:rsidRPr="000271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5901">
        <w:rPr>
          <w:rFonts w:ascii="Times New Roman" w:hAnsi="Times New Roman" w:cs="Times New Roman"/>
          <w:sz w:val="28"/>
          <w:szCs w:val="28"/>
        </w:rPr>
        <w:t>о ст. 133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45901">
        <w:rPr>
          <w:rFonts w:ascii="Times New Roman" w:hAnsi="Times New Roman" w:cs="Times New Roman"/>
          <w:sz w:val="28"/>
          <w:szCs w:val="28"/>
        </w:rPr>
        <w:t>ого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</w:t>
      </w:r>
      <w:r w:rsidR="00AB2B4A" w:rsidRPr="00AB2B4A">
        <w:rPr>
          <w:rFonts w:ascii="Times New Roman" w:hAnsi="Times New Roman" w:cs="Times New Roman"/>
          <w:sz w:val="28"/>
          <w:szCs w:val="28"/>
        </w:rPr>
        <w:t>кодекса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4590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="00A5141D">
        <w:rPr>
          <w:rFonts w:ascii="Times New Roman" w:hAnsi="Times New Roman" w:cs="Times New Roman"/>
          <w:sz w:val="28"/>
          <w:szCs w:val="28"/>
        </w:rPr>
        <w:t xml:space="preserve">11 июля </w:t>
      </w:r>
      <w:r w:rsidR="00D45901">
        <w:rPr>
          <w:rFonts w:ascii="Times New Roman" w:hAnsi="Times New Roman" w:cs="Times New Roman"/>
          <w:sz w:val="28"/>
          <w:szCs w:val="28"/>
        </w:rPr>
        <w:t>2022</w:t>
      </w:r>
      <w:r w:rsidR="00A5141D">
        <w:rPr>
          <w:rFonts w:ascii="Times New Roman" w:hAnsi="Times New Roman" w:cs="Times New Roman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sz w:val="28"/>
          <w:szCs w:val="28"/>
        </w:rPr>
        <w:t xml:space="preserve">г. № </w:t>
      </w:r>
      <w:r w:rsidR="008E47F3">
        <w:rPr>
          <w:rFonts w:ascii="Times New Roman" w:hAnsi="Times New Roman" w:cs="Times New Roman"/>
          <w:sz w:val="28"/>
          <w:szCs w:val="28"/>
        </w:rPr>
        <w:t>388</w:t>
      </w:r>
      <w:r w:rsidR="00D45901">
        <w:rPr>
          <w:rFonts w:ascii="Times New Roman" w:hAnsi="Times New Roman" w:cs="Times New Roman"/>
          <w:sz w:val="28"/>
          <w:szCs w:val="28"/>
        </w:rPr>
        <w:t>-п «О внесении изменения в пункт</w:t>
      </w:r>
      <w:r w:rsidR="00245DBE">
        <w:rPr>
          <w:rFonts w:ascii="Times New Roman" w:hAnsi="Times New Roman" w:cs="Times New Roman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sz w:val="28"/>
          <w:szCs w:val="28"/>
        </w:rPr>
        <w:t>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2009</w:t>
      </w:r>
      <w:r w:rsidR="00A5141D">
        <w:rPr>
          <w:rFonts w:ascii="Times New Roman" w:hAnsi="Times New Roman" w:cs="Times New Roman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sz w:val="28"/>
          <w:szCs w:val="28"/>
        </w:rPr>
        <w:t>г. № 81-п</w:t>
      </w:r>
      <w:r w:rsidR="008E47F3">
        <w:rPr>
          <w:rFonts w:ascii="Times New Roman" w:hAnsi="Times New Roman" w:cs="Times New Roman"/>
          <w:sz w:val="28"/>
          <w:szCs w:val="28"/>
        </w:rPr>
        <w:t>»</w:t>
      </w:r>
      <w:r w:rsidRPr="000271F4">
        <w:rPr>
          <w:rFonts w:ascii="Times New Roman" w:hAnsi="Times New Roman" w:cs="Times New Roman"/>
          <w:sz w:val="28"/>
          <w:szCs w:val="28"/>
        </w:rPr>
        <w:t xml:space="preserve">, </w:t>
      </w:r>
      <w:r w:rsidR="008E47F3">
        <w:rPr>
          <w:rFonts w:ascii="Times New Roman" w:hAnsi="Times New Roman" w:cs="Times New Roman"/>
          <w:sz w:val="28"/>
          <w:szCs w:val="28"/>
        </w:rPr>
        <w:t>решением Совета Новоселицкого муниципального округа Ставрополь</w:t>
      </w:r>
      <w:r w:rsidR="00A5141D">
        <w:rPr>
          <w:rFonts w:ascii="Times New Roman" w:hAnsi="Times New Roman" w:cs="Times New Roman"/>
          <w:sz w:val="28"/>
          <w:szCs w:val="28"/>
        </w:rPr>
        <w:t>ского края от 14 июля 2022 г. №</w:t>
      </w:r>
      <w:r w:rsidR="0025009E">
        <w:rPr>
          <w:rFonts w:ascii="Times New Roman" w:hAnsi="Times New Roman" w:cs="Times New Roman"/>
          <w:sz w:val="28"/>
          <w:szCs w:val="28"/>
        </w:rPr>
        <w:t>418</w:t>
      </w:r>
      <w:r w:rsidR="003A5B7F">
        <w:rPr>
          <w:rFonts w:ascii="Times New Roman" w:hAnsi="Times New Roman" w:cs="Times New Roman"/>
          <w:sz w:val="28"/>
          <w:szCs w:val="28"/>
        </w:rPr>
        <w:t xml:space="preserve"> «О мерах по увеличению оплаты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25009E">
        <w:rPr>
          <w:rFonts w:ascii="Times New Roman" w:hAnsi="Times New Roman" w:cs="Times New Roman"/>
          <w:sz w:val="28"/>
          <w:szCs w:val="28"/>
        </w:rPr>
        <w:t>,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2339" w:rsidRPr="000271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2339" w:rsidRPr="000271F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sz w:val="28"/>
          <w:szCs w:val="28"/>
        </w:rPr>
        <w:t>,</w:t>
      </w:r>
      <w:r w:rsidR="009A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E8" w:rsidRPr="009A3861" w:rsidRDefault="00162339" w:rsidP="000F7D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61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 w:rsidP="000F7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 w:rsidP="000F7D5C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 w:rsidP="000F7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8" w:rsidRPr="000E1F5E" w:rsidRDefault="007237E3" w:rsidP="000F7D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62339"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37E3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403B31" w:rsidRP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в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</w:t>
      </w:r>
      <w:r w:rsidR="00403B31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решением Совета Новоселицкого муниципального округ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от 17 декабря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73 </w:t>
      </w: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>П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я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оплате труда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 (в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 xml:space="preserve">редакции решений 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Совета Новоселицкого муниципального округа </w:t>
      </w:r>
      <w:r w:rsidR="00A5141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Ставропольского края от 28 октября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 г. № 289, от 17 марта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51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г. № 367)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приложению.  </w:t>
      </w:r>
    </w:p>
    <w:p w:rsidR="00162339" w:rsidRPr="007237E3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</w:t>
      </w:r>
      <w:r w:rsidR="000271F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8E47F3">
        <w:rPr>
          <w:rFonts w:ascii="Times New Roman" w:hAnsi="Times New Roman" w:cs="Times New Roman"/>
          <w:sz w:val="28"/>
          <w:szCs w:val="28"/>
        </w:rPr>
        <w:t>июля</w:t>
      </w:r>
      <w:r w:rsidR="00245DBE">
        <w:rPr>
          <w:rFonts w:ascii="Times New Roman" w:hAnsi="Times New Roman" w:cs="Times New Roman"/>
          <w:sz w:val="28"/>
          <w:szCs w:val="28"/>
        </w:rPr>
        <w:t xml:space="preserve"> 2022</w:t>
      </w:r>
      <w:r w:rsidR="000271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245DBE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</w:t>
            </w:r>
            <w:r w:rsidR="00245DBE"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0F7D5C" w:rsidRDefault="000F7D5C" w:rsidP="000F7D5C">
      <w:pPr>
        <w:pStyle w:val="3"/>
        <w:spacing w:after="0"/>
        <w:ind w:left="4395"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</w:t>
      </w:r>
    </w:p>
    <w:p w:rsidR="000F7D5C" w:rsidRDefault="000F7D5C" w:rsidP="000F7D5C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Новоселицкого </w:t>
      </w:r>
    </w:p>
    <w:p w:rsidR="000F7D5C" w:rsidRDefault="000F7D5C" w:rsidP="000F7D5C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0F7D5C" w:rsidRDefault="000F7D5C" w:rsidP="000F7D5C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F7D5C" w:rsidRDefault="000F7D5C" w:rsidP="000F7D5C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21.07.2022 г</w:t>
      </w:r>
      <w:r>
        <w:rPr>
          <w:sz w:val="28"/>
          <w:szCs w:val="28"/>
        </w:rPr>
        <w:t>. №426</w:t>
      </w:r>
    </w:p>
    <w:p w:rsidR="005A4AF8" w:rsidRDefault="005A4AF8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246641" w:rsidRPr="00403B31" w:rsidRDefault="00246641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8103D7" w:rsidRPr="00403B31" w:rsidRDefault="005A4AF8" w:rsidP="00403B31">
      <w:pPr>
        <w:pStyle w:val="3"/>
        <w:spacing w:after="0"/>
        <w:ind w:left="0" w:firstLine="720"/>
        <w:jc w:val="center"/>
        <w:rPr>
          <w:sz w:val="28"/>
          <w:szCs w:val="28"/>
        </w:rPr>
      </w:pPr>
      <w:r w:rsidRPr="00403B31">
        <w:rPr>
          <w:sz w:val="28"/>
          <w:szCs w:val="28"/>
        </w:rPr>
        <w:t xml:space="preserve">Изменения, которые вносятся </w:t>
      </w:r>
      <w:proofErr w:type="gramStart"/>
      <w:r w:rsidRPr="00403B31">
        <w:rPr>
          <w:sz w:val="28"/>
          <w:szCs w:val="28"/>
        </w:rPr>
        <w:t xml:space="preserve">в </w:t>
      </w:r>
      <w:r w:rsidR="00403B31" w:rsidRPr="00403B31">
        <w:rPr>
          <w:sz w:val="28"/>
          <w:szCs w:val="28"/>
        </w:rPr>
        <w:t xml:space="preserve"> Положение</w:t>
      </w:r>
      <w:proofErr w:type="gramEnd"/>
      <w:r w:rsidR="00403B31" w:rsidRPr="00403B31">
        <w:rPr>
          <w:sz w:val="28"/>
          <w:szCs w:val="28"/>
        </w:rPr>
        <w:t xml:space="preserve">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 решением Совета Новоселицкого муниципального округ</w:t>
      </w:r>
      <w:r w:rsidR="00A5141D">
        <w:rPr>
          <w:sz w:val="28"/>
          <w:szCs w:val="28"/>
        </w:rPr>
        <w:t xml:space="preserve">а Ставропольского края от 17 декабря </w:t>
      </w:r>
      <w:r w:rsidR="00403B31" w:rsidRPr="00403B31">
        <w:rPr>
          <w:sz w:val="28"/>
          <w:szCs w:val="28"/>
        </w:rPr>
        <w:t>2020</w:t>
      </w:r>
      <w:r w:rsidR="00A5141D">
        <w:rPr>
          <w:sz w:val="28"/>
          <w:szCs w:val="28"/>
        </w:rPr>
        <w:t xml:space="preserve"> </w:t>
      </w:r>
      <w:r w:rsidR="00403B31" w:rsidRPr="00403B31">
        <w:rPr>
          <w:sz w:val="28"/>
          <w:szCs w:val="28"/>
        </w:rPr>
        <w:t xml:space="preserve">г. № 73 </w:t>
      </w:r>
      <w:r w:rsidR="000E78F4">
        <w:rPr>
          <w:sz w:val="28"/>
          <w:szCs w:val="28"/>
        </w:rPr>
        <w:t>(далее - Положение)</w:t>
      </w:r>
    </w:p>
    <w:p w:rsidR="000650F8" w:rsidRDefault="000650F8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245DBE" w:rsidRDefault="00A5141D" w:rsidP="00A5141D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403B31" w:rsidRPr="00403B31">
        <w:rPr>
          <w:sz w:val="28"/>
          <w:szCs w:val="28"/>
        </w:rPr>
        <w:t xml:space="preserve">пункте 10 раздела II Положения </w:t>
      </w:r>
      <w:bookmarkStart w:id="0" w:name="_GoBack"/>
      <w:bookmarkEnd w:id="0"/>
      <w:r>
        <w:rPr>
          <w:sz w:val="28"/>
          <w:szCs w:val="28"/>
        </w:rPr>
        <w:t>п</w:t>
      </w:r>
      <w:r w:rsidR="008E47F3">
        <w:rPr>
          <w:sz w:val="28"/>
          <w:szCs w:val="28"/>
        </w:rPr>
        <w:t>озицию:</w:t>
      </w:r>
    </w:p>
    <w:p w:rsidR="00A5141D" w:rsidRDefault="00A5141D" w:rsidP="00A5141D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67"/>
        <w:gridCol w:w="2640"/>
      </w:tblGrid>
      <w:tr w:rsidR="00245DBE" w:rsidTr="00CA15A8">
        <w:tc>
          <w:tcPr>
            <w:tcW w:w="4253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единого 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45DBE" w:rsidTr="00CA15A8">
        <w:trPr>
          <w:cantSplit/>
          <w:trHeight w:val="215"/>
        </w:trPr>
        <w:tc>
          <w:tcPr>
            <w:tcW w:w="4253" w:type="dxa"/>
            <w:vMerge w:val="restart"/>
          </w:tcPr>
          <w:p w:rsidR="00245DBE" w:rsidRDefault="00245DBE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4066</w:t>
            </w:r>
          </w:p>
        </w:tc>
      </w:tr>
      <w:tr w:rsidR="00245DBE" w:rsidTr="00CA15A8">
        <w:trPr>
          <w:cantSplit/>
          <w:trHeight w:val="215"/>
        </w:trPr>
        <w:tc>
          <w:tcPr>
            <w:tcW w:w="4253" w:type="dxa"/>
            <w:vMerge/>
          </w:tcPr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4168</w:t>
            </w:r>
          </w:p>
        </w:tc>
      </w:tr>
      <w:tr w:rsidR="00245DBE" w:rsidTr="00CA15A8">
        <w:trPr>
          <w:cantSplit/>
          <w:trHeight w:val="215"/>
        </w:trPr>
        <w:tc>
          <w:tcPr>
            <w:tcW w:w="4253" w:type="dxa"/>
            <w:vMerge/>
          </w:tcPr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4252</w:t>
            </w:r>
          </w:p>
        </w:tc>
      </w:tr>
      <w:tr w:rsidR="00245DBE" w:rsidTr="00CA15A8">
        <w:trPr>
          <w:cantSplit/>
          <w:trHeight w:val="430"/>
        </w:trPr>
        <w:tc>
          <w:tcPr>
            <w:tcW w:w="4253" w:type="dxa"/>
            <w:vMerge w:val="restart"/>
          </w:tcPr>
          <w:p w:rsidR="00245DBE" w:rsidRDefault="00245DBE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4316</w:t>
            </w:r>
          </w:p>
        </w:tc>
      </w:tr>
      <w:tr w:rsidR="00245DBE" w:rsidTr="00CA15A8">
        <w:trPr>
          <w:cantSplit/>
          <w:trHeight w:val="480"/>
        </w:trPr>
        <w:tc>
          <w:tcPr>
            <w:tcW w:w="4253" w:type="dxa"/>
            <w:vMerge/>
          </w:tcPr>
          <w:p w:rsidR="00245DBE" w:rsidRDefault="00245DBE" w:rsidP="00CA15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45DBE" w:rsidRDefault="00245DBE" w:rsidP="00CA15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4491</w:t>
            </w:r>
          </w:p>
        </w:tc>
      </w:tr>
    </w:tbl>
    <w:p w:rsidR="00245DBE" w:rsidRDefault="00A5141D" w:rsidP="00A5141D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45DBE" w:rsidRDefault="00A5141D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з</w:t>
      </w:r>
      <w:r w:rsidR="008E47F3">
        <w:rPr>
          <w:sz w:val="28"/>
          <w:szCs w:val="28"/>
        </w:rPr>
        <w:t>аменить позицией:</w:t>
      </w:r>
    </w:p>
    <w:p w:rsidR="00134B8C" w:rsidRDefault="00A5141D" w:rsidP="008E47F3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67"/>
        <w:gridCol w:w="2640"/>
      </w:tblGrid>
      <w:tr w:rsidR="008E47F3" w:rsidTr="0001281F">
        <w:tc>
          <w:tcPr>
            <w:tcW w:w="4253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единого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тарифно-квалификационного справочника </w:t>
            </w:r>
            <w:r>
              <w:rPr>
                <w:sz w:val="28"/>
                <w:szCs w:val="28"/>
              </w:rPr>
              <w:lastRenderedPageBreak/>
              <w:t>работ и профессий рабочих</w:t>
            </w: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4473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4585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4678</w:t>
            </w:r>
          </w:p>
        </w:tc>
      </w:tr>
      <w:tr w:rsidR="008E47F3" w:rsidTr="0001281F">
        <w:trPr>
          <w:cantSplit/>
          <w:trHeight w:val="430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4748</w:t>
            </w:r>
          </w:p>
        </w:tc>
      </w:tr>
      <w:tr w:rsidR="008E47F3" w:rsidTr="0001281F">
        <w:trPr>
          <w:cantSplit/>
          <w:trHeight w:val="480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4941</w:t>
            </w:r>
          </w:p>
        </w:tc>
      </w:tr>
    </w:tbl>
    <w:p w:rsidR="00134B8C" w:rsidRDefault="00A5141D" w:rsidP="00A5141D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sectPr w:rsidR="00134B8C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E78F4"/>
    <w:rsid w:val="000F06D7"/>
    <w:rsid w:val="000F1E18"/>
    <w:rsid w:val="000F217F"/>
    <w:rsid w:val="000F279F"/>
    <w:rsid w:val="000F49BE"/>
    <w:rsid w:val="000F5599"/>
    <w:rsid w:val="000F560A"/>
    <w:rsid w:val="000F700E"/>
    <w:rsid w:val="000F7D5C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09A2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159CF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5DBE"/>
    <w:rsid w:val="002464E6"/>
    <w:rsid w:val="00246641"/>
    <w:rsid w:val="00246F90"/>
    <w:rsid w:val="0025009E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5B7F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277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7F3"/>
    <w:rsid w:val="008F07C1"/>
    <w:rsid w:val="008F12E0"/>
    <w:rsid w:val="008F169E"/>
    <w:rsid w:val="008F22B0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141D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2622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5051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4340"/>
  <w15:docId w15:val="{587218C5-FA30-4F90-9431-04B5333A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2022-07-18T05:09:00Z</cp:lastPrinted>
  <dcterms:created xsi:type="dcterms:W3CDTF">2022-07-21T08:09:00Z</dcterms:created>
  <dcterms:modified xsi:type="dcterms:W3CDTF">2022-07-21T08:10:00Z</dcterms:modified>
</cp:coreProperties>
</file>