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3C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>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 за 202</w:t>
      </w:r>
      <w:r>
        <w:rPr>
          <w:rFonts w:hint="default" w:ascii="Times New Roman" w:hAnsi="Times New Roman" w:cs="Times New Roman"/>
          <w:b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 год.</w:t>
      </w:r>
    </w:p>
    <w:p w14:paraId="2214572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"http://www.consultant.ru/document/cons_doc_LAW_52144/" \t "_blank"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  <w:t>«О развитии малого и среднего предпринимательства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, согласно которой на официальном сайте Новоселицкого муниципального округа Ставропольского края размещается и актуализируется следующая информация:</w:t>
      </w:r>
    </w:p>
    <w:p w14:paraId="093867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1. О реализации муниципальной программы Новоселицкого муниципального округа в рамках поддержки малого и среднего предпринимательства</w:t>
      </w:r>
    </w:p>
    <w:p w14:paraId="07D7C6FA">
      <w:pPr>
        <w:pStyle w:val="14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году на территории Новоселицкого муниципального округа Ставропольского края действует муниципальная программа </w:t>
      </w:r>
      <w:r>
        <w:rPr>
          <w:rFonts w:ascii="Times New Roman" w:hAnsi="Times New Roman"/>
          <w:sz w:val="28"/>
          <w:szCs w:val="28"/>
          <w:highlight w:val="none"/>
        </w:rPr>
        <w:t xml:space="preserve">«Осуществление местного самоуправления в Новоселицком муниципальном округе Ставропольского края»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утвержденная постановлением администрации Новоселицкого муниципального района Ставропольского края от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21</w:t>
      </w:r>
      <w:r>
        <w:rPr>
          <w:rFonts w:ascii="Times New Roman" w:hAnsi="Times New Roman"/>
          <w:sz w:val="28"/>
          <w:szCs w:val="28"/>
          <w:highlight w:val="none"/>
        </w:rPr>
        <w:t xml:space="preserve"> декабря 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/>
          <w:sz w:val="28"/>
          <w:szCs w:val="28"/>
          <w:highlight w:val="none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819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«</w:t>
      </w:r>
      <w:r>
        <w:rPr>
          <w:rFonts w:ascii="Times New Roman" w:hAnsi="Times New Roman"/>
          <w:sz w:val="28"/>
          <w:szCs w:val="28"/>
          <w:highlight w:val="none"/>
        </w:rPr>
        <w:t xml:space="preserve">Об утверждении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рамках </w:t>
      </w:r>
      <w:r>
        <w:rPr>
          <w:rFonts w:ascii="Times New Roman" w:hAnsi="Times New Roman"/>
          <w:sz w:val="28"/>
          <w:szCs w:val="28"/>
          <w:highlight w:val="none"/>
        </w:rPr>
        <w:t>которой утверждена подпрограмма 4</w:t>
      </w:r>
      <w:r>
        <w:rPr>
          <w:rFonts w:ascii="Times New Roman" w:hAnsi="Times New Roman"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</w:r>
      <w:r>
        <w:rPr>
          <w:rFonts w:ascii="Times New Roman" w:hAnsi="Times New Roman"/>
          <w:sz w:val="28"/>
          <w:szCs w:val="28"/>
          <w:highlight w:val="none"/>
          <w:lang w:eastAsia="ar-SA"/>
        </w:rPr>
        <w:t xml:space="preserve">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>
        <w:rPr>
          <w:rFonts w:ascii="Times New Roman" w:hAnsi="Times New Roman"/>
          <w:color w:val="FF0000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  <w:t>Задачей подпрограммы является создание благоприятных условий для развития малого и среднего предпринимательства.</w:t>
      </w:r>
    </w:p>
    <w:p w14:paraId="20658E07">
      <w:pPr>
        <w:ind w:firstLine="709"/>
        <w:jc w:val="both"/>
        <w:rPr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рамках празднования Дня российского предпринимательства на территории Новоселицкого муниципального округа проводится ежегодный конкурс «Предприниматель года» а также проводится информационно - разъяснительная работа о действующих мерах государственной поддержки субъектов малого предпринимательства на территории Ставропольского края, так на официальном сайте округа размещено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информационных релиза.</w:t>
      </w:r>
      <w:r>
        <w:rPr>
          <w:color w:val="FF0000"/>
          <w:sz w:val="28"/>
          <w:szCs w:val="28"/>
          <w:highlight w:val="none"/>
        </w:rPr>
        <w:t xml:space="preserve"> </w:t>
      </w:r>
    </w:p>
    <w:p w14:paraId="57F0D7F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деятельности.</w:t>
      </w:r>
    </w:p>
    <w:p w14:paraId="21F30E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В статистическом регистре субъектов малого и среднего предпринимательства на 01.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01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.202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г. зарегистрировано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736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субъекта, что на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4,2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% выше аналогичного периода</w:t>
      </w:r>
      <w:r>
        <w:rPr>
          <w:rFonts w:ascii="Times New Roman" w:hAnsi="Times New Roman" w:cs="Times New Roman"/>
          <w:color w:val="0000FF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</w:rPr>
        <w:t>202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ru-RU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</w:rPr>
        <w:t xml:space="preserve"> года (АППГ –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ru-RU"/>
        </w:rPr>
        <w:t>706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/>
        </w:rPr>
        <w:t xml:space="preserve"> ед)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, в том числе: </w:t>
      </w:r>
    </w:p>
    <w:p w14:paraId="0ADDE9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578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индивидуальных предпринимателя (в том числе 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15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глав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ы КФХ);</w:t>
      </w:r>
    </w:p>
    <w:p w14:paraId="7973E2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56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коммерческих организаций, имеющих статус юридического лица включенных в ЕРМСП.</w:t>
      </w:r>
    </w:p>
    <w:p w14:paraId="1F559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Управлением труда и социальной защиты населения администрации Новоселицкого муниципального округа за отчетный период заключено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социальных контрактов на сумму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млн. рублей для осуществления предпринимательской деятельности (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ИП,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самозанятость).</w:t>
      </w:r>
    </w:p>
    <w:p w14:paraId="638773B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 </w:t>
      </w:r>
    </w:p>
    <w:p w14:paraId="3C40B1F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сельское, лесное хозяйство, охота, рыболовство и рыбоводство торговля - 33,6%</w:t>
      </w:r>
    </w:p>
    <w:p w14:paraId="12F3B6A3"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торговля оптовая и розничная - 31,2%</w:t>
      </w:r>
    </w:p>
    <w:p w14:paraId="48FF680F"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транспортировка и хранение - 23,4%</w:t>
      </w:r>
    </w:p>
    <w:p w14:paraId="19D84B49">
      <w:pPr>
        <w:pStyle w:val="12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предоставление прочих коммунальных, социальных и персональных услуг - 2%.</w:t>
      </w:r>
    </w:p>
    <w:p w14:paraId="7BD70335">
      <w:pPr>
        <w:spacing w:after="0" w:line="240" w:lineRule="auto"/>
        <w:ind w:firstLine="360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14:paraId="586369B1">
      <w:pPr>
        <w:spacing w:after="0" w:line="240" w:lineRule="auto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>По данным, проведенного в 2020 году, сплошного наблюдения малого и среднего бизнеса (переписи бизнеса) Управлением Федеральной службы государственной статистики по Северо-Кавказскому федеральному округу (классификация по видам деятельности отсутствует):</w:t>
      </w:r>
    </w:p>
    <w:p w14:paraId="74FD33F6">
      <w:pPr>
        <w:spacing w:after="0" w:line="240" w:lineRule="auto"/>
        <w:jc w:val="center"/>
        <w:rPr>
          <w:rFonts w:ascii="Times New Roman" w:hAnsi="Times New Roman" w:eastAsia="Times New Roman"/>
          <w:b/>
          <w:i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i/>
          <w:sz w:val="26"/>
          <w:szCs w:val="26"/>
          <w:highlight w:val="none"/>
          <w:lang w:eastAsia="ru-RU"/>
        </w:rPr>
        <w:t>Численность занятых в сфере индивидуальной предпринимательской деятельности по категориям работников в 2020 году, человек</w:t>
      </w:r>
    </w:p>
    <w:p w14:paraId="4DC9FDA5">
      <w:pPr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856"/>
        <w:gridCol w:w="1284"/>
        <w:gridCol w:w="1663"/>
        <w:gridCol w:w="1394"/>
        <w:gridCol w:w="1910"/>
      </w:tblGrid>
      <w:tr w14:paraId="2003D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87" w:type="pct"/>
            <w:vMerge w:val="restart"/>
            <w:shd w:val="clear" w:color="auto" w:fill="auto"/>
          </w:tcPr>
          <w:p w14:paraId="223445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Средняя численность занятых в сфере индивидуальной предпринимательской деятельности - всего</w:t>
            </w:r>
          </w:p>
        </w:tc>
        <w:tc>
          <w:tcPr>
            <w:tcW w:w="2715" w:type="pct"/>
            <w:gridSpan w:val="4"/>
            <w:shd w:val="clear" w:color="auto" w:fill="auto"/>
          </w:tcPr>
          <w:p w14:paraId="3DB431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из них</w:t>
            </w:r>
          </w:p>
        </w:tc>
        <w:tc>
          <w:tcPr>
            <w:tcW w:w="998" w:type="pct"/>
            <w:vMerge w:val="restart"/>
            <w:shd w:val="clear" w:color="auto" w:fill="auto"/>
          </w:tcPr>
          <w:p w14:paraId="7701C4A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highlight w:val="none"/>
                <w:lang w:eastAsia="ru-RU"/>
              </w:rPr>
              <w:t>Число ИП, привлекающих наемных работников</w:t>
            </w:r>
          </w:p>
        </w:tc>
      </w:tr>
      <w:tr w14:paraId="3DB9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7" w:type="pct"/>
            <w:vMerge w:val="continue"/>
          </w:tcPr>
          <w:p w14:paraId="2787985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14:paraId="3BC2643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ИП</w:t>
            </w:r>
          </w:p>
        </w:tc>
        <w:tc>
          <w:tcPr>
            <w:tcW w:w="2268" w:type="pct"/>
            <w:gridSpan w:val="3"/>
            <w:shd w:val="clear" w:color="auto" w:fill="auto"/>
          </w:tcPr>
          <w:p w14:paraId="7249D3B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кроме того</w:t>
            </w:r>
          </w:p>
        </w:tc>
        <w:tc>
          <w:tcPr>
            <w:tcW w:w="998" w:type="pct"/>
            <w:vMerge w:val="continue"/>
          </w:tcPr>
          <w:p w14:paraId="4196120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highlight w:val="none"/>
                <w:lang w:eastAsia="ru-RU"/>
              </w:rPr>
            </w:pPr>
          </w:p>
        </w:tc>
      </w:tr>
      <w:tr w14:paraId="51AC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" w:type="pct"/>
            <w:vMerge w:val="continue"/>
          </w:tcPr>
          <w:p w14:paraId="595A2A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</w:p>
        </w:tc>
        <w:tc>
          <w:tcPr>
            <w:tcW w:w="447" w:type="pct"/>
            <w:vMerge w:val="continue"/>
          </w:tcPr>
          <w:p w14:paraId="10307F1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</w:p>
        </w:tc>
        <w:tc>
          <w:tcPr>
            <w:tcW w:w="2268" w:type="pct"/>
            <w:gridSpan w:val="3"/>
            <w:shd w:val="clear" w:color="auto" w:fill="auto"/>
          </w:tcPr>
          <w:p w14:paraId="21BACE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численность работающих в бизнесе ИП по категориям</w:t>
            </w:r>
          </w:p>
        </w:tc>
        <w:tc>
          <w:tcPr>
            <w:tcW w:w="998" w:type="pct"/>
            <w:vMerge w:val="continue"/>
          </w:tcPr>
          <w:p w14:paraId="7BB9EC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highlight w:val="none"/>
                <w:lang w:eastAsia="ru-RU"/>
              </w:rPr>
            </w:pPr>
          </w:p>
        </w:tc>
      </w:tr>
      <w:tr w14:paraId="6047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" w:type="pct"/>
            <w:vMerge w:val="continue"/>
          </w:tcPr>
          <w:p w14:paraId="05E8B6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</w:p>
        </w:tc>
        <w:tc>
          <w:tcPr>
            <w:tcW w:w="447" w:type="pct"/>
            <w:vMerge w:val="continue"/>
          </w:tcPr>
          <w:p w14:paraId="58E6D9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</w:p>
        </w:tc>
        <w:tc>
          <w:tcPr>
            <w:tcW w:w="671" w:type="pct"/>
            <w:shd w:val="clear" w:color="auto" w:fill="auto"/>
          </w:tcPr>
          <w:p w14:paraId="7237AD2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партнеры</w:t>
            </w:r>
          </w:p>
        </w:tc>
        <w:tc>
          <w:tcPr>
            <w:tcW w:w="869" w:type="pct"/>
            <w:shd w:val="clear" w:color="auto" w:fill="auto"/>
          </w:tcPr>
          <w:p w14:paraId="2BDD58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помогающие члены семьи</w:t>
            </w:r>
          </w:p>
        </w:tc>
        <w:tc>
          <w:tcPr>
            <w:tcW w:w="728" w:type="pct"/>
            <w:shd w:val="clear" w:color="auto" w:fill="auto"/>
          </w:tcPr>
          <w:p w14:paraId="572E20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наемные работники</w:t>
            </w:r>
          </w:p>
        </w:tc>
        <w:tc>
          <w:tcPr>
            <w:tcW w:w="998" w:type="pct"/>
            <w:vMerge w:val="continue"/>
          </w:tcPr>
          <w:p w14:paraId="02ACBA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6"/>
                <w:szCs w:val="26"/>
                <w:highlight w:val="none"/>
                <w:lang w:eastAsia="ru-RU"/>
              </w:rPr>
            </w:pPr>
          </w:p>
        </w:tc>
      </w:tr>
      <w:tr w14:paraId="5E030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7" w:type="pct"/>
            <w:shd w:val="clear" w:color="auto" w:fill="auto"/>
            <w:noWrap/>
          </w:tcPr>
          <w:p w14:paraId="49856C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727</w:t>
            </w:r>
          </w:p>
        </w:tc>
        <w:tc>
          <w:tcPr>
            <w:tcW w:w="447" w:type="pct"/>
            <w:shd w:val="clear" w:color="auto" w:fill="auto"/>
            <w:noWrap/>
          </w:tcPr>
          <w:p w14:paraId="1A6A483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384</w:t>
            </w:r>
          </w:p>
        </w:tc>
        <w:tc>
          <w:tcPr>
            <w:tcW w:w="671" w:type="pct"/>
            <w:shd w:val="clear" w:color="auto" w:fill="auto"/>
            <w:noWrap/>
          </w:tcPr>
          <w:p w14:paraId="18376B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0</w:t>
            </w:r>
          </w:p>
        </w:tc>
        <w:tc>
          <w:tcPr>
            <w:tcW w:w="869" w:type="pct"/>
            <w:shd w:val="clear" w:color="auto" w:fill="auto"/>
            <w:noWrap/>
          </w:tcPr>
          <w:p w14:paraId="5783FD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29</w:t>
            </w:r>
          </w:p>
        </w:tc>
        <w:tc>
          <w:tcPr>
            <w:tcW w:w="728" w:type="pct"/>
            <w:shd w:val="clear" w:color="auto" w:fill="auto"/>
            <w:noWrap/>
          </w:tcPr>
          <w:p w14:paraId="7A80CB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314</w:t>
            </w:r>
          </w:p>
        </w:tc>
        <w:tc>
          <w:tcPr>
            <w:tcW w:w="998" w:type="pct"/>
            <w:shd w:val="clear" w:color="auto" w:fill="auto"/>
            <w:noWrap/>
          </w:tcPr>
          <w:p w14:paraId="19C13E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highlight w:val="none"/>
                <w:lang w:eastAsia="ru-RU"/>
              </w:rPr>
              <w:t>68</w:t>
            </w:r>
          </w:p>
        </w:tc>
      </w:tr>
    </w:tbl>
    <w:p w14:paraId="0AA79DA4"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21"/>
          <w:szCs w:val="21"/>
          <w:highlight w:val="none"/>
        </w:rPr>
        <w:t>*</w:t>
      </w:r>
      <w:r>
        <w:rPr>
          <w:rFonts w:ascii="Arial" w:hAnsi="Arial" w:cs="Arial"/>
          <w:sz w:val="16"/>
          <w:szCs w:val="16"/>
          <w:highlight w:val="none"/>
        </w:rPr>
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</w:r>
    </w:p>
    <w:p w14:paraId="55E121EA"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2020 года)</w:t>
      </w:r>
    </w:p>
    <w:p w14:paraId="621D8638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/>
          <w:b/>
          <w:bCs/>
          <w:i/>
          <w:sz w:val="26"/>
          <w:szCs w:val="26"/>
          <w:highlight w:val="none"/>
          <w:lang w:eastAsia="ru-RU"/>
        </w:rPr>
        <w:t>Средняя численность работников юридических лиц (микропредприятия), человек</w:t>
      </w:r>
    </w:p>
    <w:p w14:paraId="3DBEB5CE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i/>
          <w:sz w:val="26"/>
          <w:szCs w:val="26"/>
          <w:highlight w:val="none"/>
          <w:lang w:eastAsia="ru-RU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9EC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500" w:type="pct"/>
            <w:shd w:val="clear" w:color="auto" w:fill="auto"/>
          </w:tcPr>
          <w:p w14:paraId="0A4D98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Всего за 2020 год</w:t>
            </w:r>
          </w:p>
        </w:tc>
        <w:tc>
          <w:tcPr>
            <w:tcW w:w="2500" w:type="pct"/>
            <w:shd w:val="clear" w:color="auto" w:fill="auto"/>
          </w:tcPr>
          <w:p w14:paraId="4F66FB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из них работников списочного состава (без внешних совместителей)</w:t>
            </w:r>
          </w:p>
        </w:tc>
      </w:tr>
      <w:tr w14:paraId="4CC7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500" w:type="pct"/>
            <w:shd w:val="clear" w:color="auto" w:fill="auto"/>
            <w:noWrap/>
          </w:tcPr>
          <w:p w14:paraId="40CF25E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96</w:t>
            </w:r>
          </w:p>
        </w:tc>
        <w:tc>
          <w:tcPr>
            <w:tcW w:w="2500" w:type="pct"/>
            <w:shd w:val="clear" w:color="auto" w:fill="auto"/>
            <w:noWrap/>
          </w:tcPr>
          <w:p w14:paraId="56F5B49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6"/>
                <w:szCs w:val="26"/>
                <w:highlight w:val="none"/>
                <w:lang w:eastAsia="ru-RU"/>
              </w:rPr>
              <w:t>87</w:t>
            </w:r>
          </w:p>
        </w:tc>
      </w:tr>
    </w:tbl>
    <w:p w14:paraId="4BAA7302">
      <w:pPr>
        <w:pStyle w:val="9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  <w:highlight w:val="none"/>
        </w:rPr>
      </w:pPr>
    </w:p>
    <w:p w14:paraId="479A7D7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деятельности.</w:t>
      </w:r>
    </w:p>
    <w:p w14:paraId="090FA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в действующих ценах составил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75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2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млн. рублей, что составляет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75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% к уровню аналогичного периода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3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года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</w:p>
    <w:p w14:paraId="7F8A99B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5. О финансово-экономическом состоянии субъектов малого и среднего предпринимательства</w:t>
      </w:r>
    </w:p>
    <w:p w14:paraId="13D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По оценке статистических органов, розничный товарооборот по крупным и средним предприятиям по всем видам экономической деятельности за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 составил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453</w:t>
      </w:r>
      <w:r>
        <w:rPr>
          <w:rFonts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млн. рублей, что по отношению к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составляет 11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3,1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%. </w:t>
      </w:r>
    </w:p>
    <w:p w14:paraId="2488A21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>Удельный вес прибыльных организаций в общем их объеме составил 66,7% (2023 год – 66,7%), 10 предприятий округа завершили год с положительным результатом, 5 предприятий – с убытком. Общая сумма прибыли до налогообложения составила 215,8 млн. руб. (прибыль – 423 млн. руб., убыток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 w:eastAsia="Calibri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>207,2 млн. руб.).</w:t>
      </w:r>
    </w:p>
    <w:p w14:paraId="5B7FB1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 xml:space="preserve">6. Об организациях, образующих инфраструктуру поддержки субъектов малого и среднего предпринимательства в Ставропольском крае </w:t>
      </w:r>
    </w:p>
    <w:p w14:paraId="63A1127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  <w:t>Формы поддержки</w:t>
      </w:r>
    </w:p>
    <w:p w14:paraId="31C04066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</w:rPr>
        <w:fldChar w:fldCharType="begin"/>
      </w:r>
      <w:r>
        <w:rPr>
          <w:sz w:val="24"/>
          <w:szCs w:val="24"/>
          <w:highlight w:val="none"/>
        </w:rPr>
        <w:instrText xml:space="preserve"> HYPERLINK "https://anmo-sk-r07.gosweb.gosuslugi.ru/deyatelnost/napravleniya-deyatelnosti/ekonomika/razvitie-predprinimatelstva/formy-podderzhki/" </w:instrText>
      </w:r>
      <w:r>
        <w:rPr>
          <w:sz w:val="24"/>
          <w:szCs w:val="24"/>
          <w:highlight w:val="none"/>
        </w:rPr>
        <w:fldChar w:fldCharType="separate"/>
      </w:r>
      <w:r>
        <w:rPr>
          <w:rStyle w:val="7"/>
          <w:b w:val="0"/>
          <w:sz w:val="24"/>
          <w:szCs w:val="24"/>
          <w:highlight w:val="none"/>
        </w:rPr>
        <w:t>https://anmo-sk-r07.gosweb.gosuslugi.ru/deyatelnost/napravleniya-deyatelnosti/ekonomika/razvitie-predprinimatelstva/formy-podderzhki/</w:t>
      </w:r>
      <w:r>
        <w:rPr>
          <w:rStyle w:val="7"/>
          <w:b w:val="0"/>
          <w:sz w:val="24"/>
          <w:szCs w:val="24"/>
          <w:highlight w:val="none"/>
        </w:rPr>
        <w:fldChar w:fldCharType="end"/>
      </w:r>
    </w:p>
    <w:p w14:paraId="7B714C3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7. О муниципальном имуществе, расположенном на территории Новоселицкого муниципального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14:paraId="22F9DC47">
      <w:pPr>
        <w:spacing w:after="0" w:line="240" w:lineRule="auto"/>
        <w:ind w:left="0" w:leftChars="0" w:firstLine="440" w:firstLineChars="20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  <w:fldChar w:fldCharType="begin"/>
      </w:r>
      <w:r>
        <w:rPr>
          <w:rFonts w:ascii="Times New Roman" w:hAnsi="Times New Roman" w:cs="Times New Roman"/>
          <w:sz w:val="28"/>
          <w:szCs w:val="28"/>
          <w:highlight w:val="none"/>
        </w:rPr>
        <w:instrText xml:space="preserve"> HYPERLINK 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</w:instrText>
      </w:r>
      <w:r>
        <w:rPr>
          <w:highlight w:val="none"/>
        </w:rPr>
        <w:fldChar w:fldCharType="separate"/>
      </w: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Постановление от </w:t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21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>.</w:t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10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>.202</w:t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4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г. № </w:t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highlight w:val="none"/>
          <w:u w:val="none"/>
          <w:lang w:val="ru-RU"/>
        </w:rPr>
        <w:t>569</w:t>
      </w: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t xml:space="preserve"> "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утвержденный  постановлением администрации Новоселицкого  муниципального округа  Ставропольского края  от  15.09.2021 г.№742 (в редакции от 04.03.2022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г.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>№135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14.03.2023 №161, 29.05.2023 № 341</w:t>
      </w:r>
      <w:r>
        <w:rPr>
          <w:rFonts w:ascii="Times New Roman" w:hAnsi="Times New Roman" w:cs="Times New Roman"/>
          <w:sz w:val="28"/>
          <w:szCs w:val="28"/>
          <w:highlight w:val="none"/>
        </w:rPr>
        <w:t>)</w:t>
      </w:r>
    </w:p>
    <w:p w14:paraId="4D034E03">
      <w:pPr>
        <w:pStyle w:val="3"/>
        <w:pBdr>
          <w:bottom w:val="single" w:color="DDDDDD" w:sz="6" w:space="4"/>
        </w:pBdr>
        <w:spacing w:before="0" w:line="240" w:lineRule="auto"/>
        <w:ind w:firstLine="567"/>
        <w:jc w:val="both"/>
        <w:textAlignment w:val="baseline"/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</w:pPr>
      <w:r>
        <w:rPr>
          <w:rStyle w:val="7"/>
          <w:rFonts w:ascii="Times New Roman" w:hAnsi="Times New Roman" w:cs="Times New Roman"/>
          <w:color w:val="auto"/>
          <w:sz w:val="28"/>
          <w:szCs w:val="28"/>
          <w:highlight w:val="none"/>
          <w:u w:val="none"/>
        </w:rPr>
        <w:fldChar w:fldCharType="end"/>
      </w:r>
    </w:p>
    <w:p w14:paraId="2D6E3C92">
      <w:pPr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 HYPERLINK "https://anmo-sk-r07.gosweb.gosuslugi.ru/deyatelnost/napravleniya-deyatelnosti/ekonomika/imuschestvennaya-podderzhka-subektov-malogo-i-srednego/"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highlight w:val="none"/>
        </w:rPr>
        <w:t>https://anmo-sk-r07.gosweb.gosuslugi.ru/deyatelnost/napravleniya-deyatelnosti/ekonomika/imuschestvennaya-podderzhka-subektov-malogo-i-srednego/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</w:p>
    <w:p w14:paraId="541ECF5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392569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u w:val="single"/>
          <w:lang w:eastAsia="ru-RU"/>
        </w:rPr>
        <w:t>Конкурсы</w:t>
      </w:r>
    </w:p>
    <w:p w14:paraId="2702ED37">
      <w:pP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instrText xml:space="preserve"> HYPERLINK "https://anmo-sk-r07.gosweb.gosuslugi.ru/deyatelnost/napravleniya-deyatelnosti/ekonomika/razvitie-predprinimatelstva/konkursy/" </w:instrTex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highlight w:val="none"/>
        </w:rPr>
        <w:t>https://anmo-sk-r07.gosweb.gosuslugi.ru/deyatelnost/napravleniya-deyatelnosti/ekonomika/razvitie-predprinimatelstva/konkursy/</w:t>
      </w:r>
      <w:r>
        <w:rPr>
          <w:rStyle w:val="7"/>
          <w:rFonts w:hint="default" w:ascii="Times New Roman" w:hAnsi="Times New Roman" w:cs="Times New Roman"/>
          <w:sz w:val="24"/>
          <w:szCs w:val="24"/>
          <w:highlight w:val="none"/>
        </w:rPr>
        <w:fldChar w:fldCharType="end"/>
      </w:r>
    </w:p>
    <w:p w14:paraId="5C057A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9. Об иной необходимой для развития субъектов малого и среднего предпринимательства информации</w:t>
      </w:r>
    </w:p>
    <w:p w14:paraId="61ED84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Доля налоговых поступлений в бюджет муниципального округа от деятельности субъектов малого и среднего предпринимательства в 2023 году составила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14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% (в 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году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97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%).</w:t>
      </w:r>
    </w:p>
    <w:tbl>
      <w:tblPr>
        <w:tblStyle w:val="5"/>
        <w:tblW w:w="5143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551"/>
        <w:gridCol w:w="1623"/>
        <w:gridCol w:w="1623"/>
        <w:gridCol w:w="1813"/>
      </w:tblGrid>
      <w:tr w14:paraId="3A1C9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09230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№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6719B4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814BC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</w:p>
          <w:p w14:paraId="5F1D37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2022 г.</w:t>
            </w:r>
          </w:p>
          <w:p w14:paraId="2999702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</w:p>
        </w:tc>
        <w:tc>
          <w:tcPr>
            <w:tcW w:w="817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97EF6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2023 г. (отчет)</w:t>
            </w: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3251F7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2024 г. (прогноз)</w:t>
            </w:r>
          </w:p>
        </w:tc>
      </w:tr>
      <w:tr w14:paraId="177C9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DA885B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1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12DAE56D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4A8F59">
            <w:pPr>
              <w:spacing w:after="0"/>
              <w:jc w:val="center"/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173</w:t>
            </w:r>
          </w:p>
        </w:tc>
        <w:tc>
          <w:tcPr>
            <w:tcW w:w="162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D550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245</w:t>
            </w: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E52B0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249</w:t>
            </w:r>
          </w:p>
        </w:tc>
      </w:tr>
      <w:tr w14:paraId="0BA3C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52110AA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2</w:t>
            </w:r>
          </w:p>
        </w:tc>
        <w:tc>
          <w:tcPr>
            <w:tcW w:w="1788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F480BF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B6D5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17,8</w:t>
            </w:r>
          </w:p>
          <w:p w14:paraId="6E4D51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</w:p>
        </w:tc>
        <w:tc>
          <w:tcPr>
            <w:tcW w:w="1623" w:type="dxa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1618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18</w:t>
            </w:r>
          </w:p>
          <w:p w14:paraId="266DDD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</w:p>
        </w:tc>
        <w:tc>
          <w:tcPr>
            <w:tcW w:w="913" w:type="pct"/>
            <w:tcBorders>
              <w:top w:val="single" w:color="E0E0E0" w:sz="6" w:space="0"/>
              <w:left w:val="single" w:color="E0E0E0" w:sz="6" w:space="0"/>
              <w:bottom w:val="single" w:color="E0E0E0" w:sz="6" w:space="0"/>
              <w:right w:val="single" w:color="E0E0E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DE537D">
            <w:pPr>
              <w:spacing w:after="0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18,2</w:t>
            </w:r>
          </w:p>
        </w:tc>
      </w:tr>
    </w:tbl>
    <w:p w14:paraId="28E6EF0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  <w:lang w:eastAsia="ru-RU"/>
        </w:rPr>
      </w:pPr>
    </w:p>
    <w:p w14:paraId="33DB3C6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Администрация Новоселицкого муниципального округа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муниципального округа с ведущими специалистами в различных отраслях.</w:t>
      </w:r>
    </w:p>
    <w:p w14:paraId="34C421B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На краевом и муниципальном уровне оказывается комплексная поддержка бизнесу, работают разные механизмы поддержки.</w:t>
      </w:r>
    </w:p>
    <w:p w14:paraId="3EDFE93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 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году, по сообщению некоммерческой организации «Фонд поддержки предпринимательства в Ставропольском крае» услугами центра «Мой бизнес» воспользовались 1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граждан.</w:t>
      </w:r>
    </w:p>
    <w:p w14:paraId="6EF45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По состоянию на 01.01.202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г. НМО «Фонд микрофинансирования субъектов малого и среднего предпринимательства в Ставропольском крае» 6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индивидуальным предпринимателям выданы микрозаймы в сумме </w:t>
      </w:r>
      <w:r>
        <w:rPr>
          <w:rFonts w:hint="default" w:ascii="Times New Roman" w:hAnsi="Times New Roman" w:eastAsia="Times New Roman"/>
          <w:sz w:val="28"/>
          <w:szCs w:val="28"/>
          <w:highlight w:val="none"/>
          <w:lang w:eastAsia="ru-RU"/>
        </w:rPr>
        <w:t>61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млн. рублей, в том числе за 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выдано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микрозаймов субъектам МСП на сумму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6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ru-RU"/>
        </w:rPr>
        <w:t>5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 млн. рублей.</w:t>
      </w:r>
      <w:r>
        <w:rPr>
          <w:rFonts w:ascii="Times New Roman" w:hAnsi="Times New Roman" w:cs="Times New Roman"/>
          <w:color w:val="FF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(202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- год выдан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микрозайм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сумму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highlight w:val="none"/>
        </w:rPr>
        <w:t>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млн. рублей.)</w:t>
      </w:r>
    </w:p>
    <w:p w14:paraId="5ED3C0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Гарантийным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фондом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поддержки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> субъектов малого и среднего 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Ставропольского</w:t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 xml:space="preserve">края, выдано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 xml:space="preserve"> кредитн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  <w:lang w:val="ru-RU"/>
        </w:rPr>
        <w:t>ое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 xml:space="preserve"> поручительства на общую сумму 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shd w:val="clear" w:color="auto" w:fill="FFFFFF"/>
          <w:lang w:val="ru-RU"/>
        </w:rPr>
        <w:t>10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highlight w:val="none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  <w:highlight w:val="none"/>
          <w:shd w:val="clear" w:color="auto" w:fill="FFFFFF"/>
        </w:rPr>
        <w:t xml:space="preserve"> млн. рублей. </w:t>
      </w:r>
    </w:p>
    <w:p w14:paraId="00535E5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продовольствия». </w:t>
      </w:r>
      <w:r>
        <w:rPr>
          <w:rFonts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из краевого и федерального бюджетов на поддержку агропромышленного комплекса округа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выделено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79,5 млн. рублей, что на 6% выше 2023 года (2023 г.- 75,3 млн. рублей)</w:t>
      </w:r>
    </w:p>
    <w:p w14:paraId="6A0E5382">
      <w:pPr>
        <w:spacing w:after="0" w:line="240" w:lineRule="auto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Администрация Новоселицкого муниципального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муниципального округа с ведущими специалистами в различных отраслях, </w:t>
      </w:r>
      <w:r>
        <w:rPr>
          <w:rFonts w:ascii="Times New Roman" w:hAnsi="Times New Roman" w:cs="Times New Roman"/>
          <w:sz w:val="28"/>
          <w:szCs w:val="28"/>
          <w:highlight w:val="none"/>
        </w:rPr>
        <w:t>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проведено 3 совещания. В 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проведено 3 совещания.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Всего за два года приняли участие в совещаниях –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270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человек.</w:t>
      </w:r>
    </w:p>
    <w:p w14:paraId="07F0E72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Информация о малом и среднем предпринимательстве муниципального округа, их достижениях в развитии собственного бизнеса в течении 202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года размещалась на официальном сайте администрации Новоселицкого муниципального округа в сети Интернет, социальных сетях и районной газете «Авангард».</w:t>
      </w:r>
    </w:p>
    <w:p w14:paraId="74A18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40B73"/>
    <w:multiLevelType w:val="multilevel"/>
    <w:tmpl w:val="0D440B73"/>
    <w:lvl w:ilvl="0" w:tentative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946"/>
        </w:tabs>
        <w:ind w:left="2946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66"/>
        </w:tabs>
        <w:ind w:left="3666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106"/>
        </w:tabs>
        <w:ind w:left="5106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826"/>
        </w:tabs>
        <w:ind w:left="5826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06D1C"/>
    <w:rsid w:val="000529C5"/>
    <w:rsid w:val="000619F8"/>
    <w:rsid w:val="0007657A"/>
    <w:rsid w:val="000C1027"/>
    <w:rsid w:val="000C129C"/>
    <w:rsid w:val="000F13E8"/>
    <w:rsid w:val="000F2BD9"/>
    <w:rsid w:val="00150AC8"/>
    <w:rsid w:val="001B355C"/>
    <w:rsid w:val="001C6A12"/>
    <w:rsid w:val="001D20FD"/>
    <w:rsid w:val="002062F0"/>
    <w:rsid w:val="00206789"/>
    <w:rsid w:val="00211C4B"/>
    <w:rsid w:val="0026345B"/>
    <w:rsid w:val="00267FCB"/>
    <w:rsid w:val="00296EA0"/>
    <w:rsid w:val="002C1FEC"/>
    <w:rsid w:val="002C7B86"/>
    <w:rsid w:val="002E1335"/>
    <w:rsid w:val="002F5A5A"/>
    <w:rsid w:val="00310880"/>
    <w:rsid w:val="00330594"/>
    <w:rsid w:val="0035185C"/>
    <w:rsid w:val="003533E8"/>
    <w:rsid w:val="003644DB"/>
    <w:rsid w:val="00377E20"/>
    <w:rsid w:val="00395903"/>
    <w:rsid w:val="003A08E1"/>
    <w:rsid w:val="003A5AEA"/>
    <w:rsid w:val="003D36D6"/>
    <w:rsid w:val="003F0707"/>
    <w:rsid w:val="0041343A"/>
    <w:rsid w:val="00417AA6"/>
    <w:rsid w:val="004543A4"/>
    <w:rsid w:val="0046518F"/>
    <w:rsid w:val="00496312"/>
    <w:rsid w:val="004A2F49"/>
    <w:rsid w:val="004C0CC5"/>
    <w:rsid w:val="004D43CB"/>
    <w:rsid w:val="004E56D2"/>
    <w:rsid w:val="004F55C2"/>
    <w:rsid w:val="004F5E8A"/>
    <w:rsid w:val="0051000E"/>
    <w:rsid w:val="0052249C"/>
    <w:rsid w:val="0054092C"/>
    <w:rsid w:val="00553CF0"/>
    <w:rsid w:val="00573DBF"/>
    <w:rsid w:val="005752C3"/>
    <w:rsid w:val="005A6E42"/>
    <w:rsid w:val="005B36C0"/>
    <w:rsid w:val="005D088C"/>
    <w:rsid w:val="005D11F2"/>
    <w:rsid w:val="005D4BB4"/>
    <w:rsid w:val="005D5C63"/>
    <w:rsid w:val="00617E23"/>
    <w:rsid w:val="0063577A"/>
    <w:rsid w:val="00635B6B"/>
    <w:rsid w:val="006367AA"/>
    <w:rsid w:val="00645C93"/>
    <w:rsid w:val="0065209A"/>
    <w:rsid w:val="00653254"/>
    <w:rsid w:val="006C5777"/>
    <w:rsid w:val="006D6FE3"/>
    <w:rsid w:val="006F3FBA"/>
    <w:rsid w:val="0073772B"/>
    <w:rsid w:val="0075410D"/>
    <w:rsid w:val="00760394"/>
    <w:rsid w:val="00765A39"/>
    <w:rsid w:val="00776100"/>
    <w:rsid w:val="007958FC"/>
    <w:rsid w:val="007A69A4"/>
    <w:rsid w:val="007B3BC9"/>
    <w:rsid w:val="007F0F96"/>
    <w:rsid w:val="007F70BB"/>
    <w:rsid w:val="008044FA"/>
    <w:rsid w:val="00837CE7"/>
    <w:rsid w:val="00851EBA"/>
    <w:rsid w:val="00866BF1"/>
    <w:rsid w:val="00886BAD"/>
    <w:rsid w:val="008F0B63"/>
    <w:rsid w:val="008F0F5D"/>
    <w:rsid w:val="008F7FC6"/>
    <w:rsid w:val="0091241E"/>
    <w:rsid w:val="00917A7B"/>
    <w:rsid w:val="00925CA3"/>
    <w:rsid w:val="00930129"/>
    <w:rsid w:val="009374A5"/>
    <w:rsid w:val="00955DAC"/>
    <w:rsid w:val="00963BF6"/>
    <w:rsid w:val="0097481F"/>
    <w:rsid w:val="00983F0F"/>
    <w:rsid w:val="009A5186"/>
    <w:rsid w:val="009A74C0"/>
    <w:rsid w:val="009D7756"/>
    <w:rsid w:val="009E4002"/>
    <w:rsid w:val="00A074C6"/>
    <w:rsid w:val="00A36729"/>
    <w:rsid w:val="00AA1326"/>
    <w:rsid w:val="00AD4ED1"/>
    <w:rsid w:val="00AD7044"/>
    <w:rsid w:val="00B10D4E"/>
    <w:rsid w:val="00B41692"/>
    <w:rsid w:val="00B81AA5"/>
    <w:rsid w:val="00B83BBD"/>
    <w:rsid w:val="00C0138D"/>
    <w:rsid w:val="00C02247"/>
    <w:rsid w:val="00C17A0A"/>
    <w:rsid w:val="00C569A6"/>
    <w:rsid w:val="00C60984"/>
    <w:rsid w:val="00C71A8E"/>
    <w:rsid w:val="00C76781"/>
    <w:rsid w:val="00D15ADF"/>
    <w:rsid w:val="00D23BEF"/>
    <w:rsid w:val="00D3713A"/>
    <w:rsid w:val="00D46DAD"/>
    <w:rsid w:val="00D512D5"/>
    <w:rsid w:val="00D65B36"/>
    <w:rsid w:val="00D83F94"/>
    <w:rsid w:val="00D91FB0"/>
    <w:rsid w:val="00E339CB"/>
    <w:rsid w:val="00E579F7"/>
    <w:rsid w:val="00E7559A"/>
    <w:rsid w:val="00EA282D"/>
    <w:rsid w:val="00EC07FA"/>
    <w:rsid w:val="00EF2F0C"/>
    <w:rsid w:val="00F312F2"/>
    <w:rsid w:val="00F43B25"/>
    <w:rsid w:val="00FC7402"/>
    <w:rsid w:val="00FE69E4"/>
    <w:rsid w:val="25312E30"/>
    <w:rsid w:val="27BC4B4F"/>
    <w:rsid w:val="341A35B8"/>
    <w:rsid w:val="3D5F58A2"/>
    <w:rsid w:val="471115A5"/>
    <w:rsid w:val="5674657B"/>
    <w:rsid w:val="6546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14">
    <w:name w:val="Без интервала1"/>
    <w:qFormat/>
    <w:uiPriority w:val="0"/>
    <w:rPr>
      <w:rFonts w:ascii="Calibri" w:hAnsi="Calibri" w:eastAsia="Calibri" w:cs="Times New Roman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1808</Words>
  <Characters>10306</Characters>
  <Lines>85</Lines>
  <Paragraphs>24</Paragraphs>
  <TotalTime>468</TotalTime>
  <ScaleCrop>false</ScaleCrop>
  <LinksUpToDate>false</LinksUpToDate>
  <CharactersWithSpaces>12090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2024-01-25T12:54:00Z</dcterms:created>
  <dc:creator>Кристина</dc:creator>
  <cp:lastModifiedBy>Надежда</cp:lastModifiedBy>
  <cp:lastPrinted>2023-02-28T10:20:00Z</cp:lastPrinted>
  <dcterms:modified xsi:type="dcterms:W3CDTF">2025-02-05T12:57:59Z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16F11C95B8B44758870E994DCEDC8A0F_13</vt:lpwstr>
  </property>
</Properties>
</file>