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6A49" w14:textId="37959B81" w:rsidR="006369EF" w:rsidRDefault="006369EF" w:rsidP="006369EF">
      <w:pPr>
        <w:tabs>
          <w:tab w:val="left" w:pos="78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DF13F5" wp14:editId="355FCF04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3228C" w14:textId="77777777" w:rsidR="006369EF" w:rsidRDefault="006369EF" w:rsidP="006369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413F43" w14:textId="77777777" w:rsidR="006369EF" w:rsidRDefault="006369EF" w:rsidP="006369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3E249E1E" w14:textId="77777777" w:rsidR="006369EF" w:rsidRDefault="006369EF" w:rsidP="006369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D2C841" w14:textId="77777777" w:rsidR="006369EF" w:rsidRDefault="006369EF" w:rsidP="006369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14:paraId="3A5939E9" w14:textId="77777777" w:rsidR="006369EF" w:rsidRDefault="006369EF" w:rsidP="006369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14:paraId="0C0F6063" w14:textId="77777777" w:rsidR="006369EF" w:rsidRDefault="006369EF" w:rsidP="006369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F1670B" w14:textId="77777777" w:rsidR="006369EF" w:rsidRDefault="006369EF" w:rsidP="006369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Новоселицкое</w:t>
      </w:r>
    </w:p>
    <w:p w14:paraId="5497C7A3" w14:textId="49BE6500" w:rsidR="00BD143A" w:rsidRPr="006369EF" w:rsidRDefault="006369EF" w:rsidP="00636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9EF">
        <w:rPr>
          <w:rFonts w:ascii="Times New Roman" w:hAnsi="Times New Roman" w:cs="Times New Roman"/>
          <w:sz w:val="28"/>
          <w:szCs w:val="28"/>
        </w:rPr>
        <w:t xml:space="preserve">25 августа 2023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D143A" w:rsidRPr="006369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556</w:t>
      </w:r>
    </w:p>
    <w:p w14:paraId="5DD2A1DD" w14:textId="77777777" w:rsidR="00BD143A" w:rsidRPr="003B3CF2" w:rsidRDefault="00BD143A" w:rsidP="00BD14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D99A" w14:textId="77777777" w:rsidR="003128E2" w:rsidRPr="003B3CF2" w:rsidRDefault="003128E2" w:rsidP="0091112C">
      <w:pPr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14:paraId="3C8C8FFF" w14:textId="190C8526" w:rsidR="003128E2" w:rsidRPr="001C79E5" w:rsidRDefault="003128E2" w:rsidP="00345AC6">
      <w:pPr>
        <w:suppressAutoHyphens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C79E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</w:t>
      </w:r>
      <w:r w:rsidR="000879DD" w:rsidRPr="001C79E5">
        <w:rPr>
          <w:rFonts w:ascii="Times New Roman" w:hAnsi="Times New Roman" w:cs="Times New Roman"/>
          <w:bCs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="000879DD" w:rsidRPr="001C79E5">
        <w:rPr>
          <w:rFonts w:ascii="Times New Roman" w:hAnsi="Times New Roman" w:cs="Times New Roman"/>
          <w:bCs/>
          <w:sz w:val="28"/>
          <w:szCs w:val="28"/>
        </w:rPr>
        <w:t xml:space="preserve"> в соответствии с социальным сертификатом</w:t>
      </w:r>
      <w:bookmarkEnd w:id="0"/>
      <w:r w:rsidR="000879DD" w:rsidRPr="001C79E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054F885" w14:textId="77777777" w:rsidR="006369EF" w:rsidRDefault="006369EF" w:rsidP="006369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3E2B09B" w14:textId="77777777" w:rsidR="006369EF" w:rsidRDefault="006369EF" w:rsidP="006369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D5E3810" w14:textId="76CEBAD7" w:rsidR="00C35AD0" w:rsidRPr="00BD143A" w:rsidRDefault="00C35AD0" w:rsidP="006369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</w:t>
      </w:r>
      <w:r w:rsidRPr="000A77DA">
        <w:rPr>
          <w:rFonts w:ascii="Times New Roman" w:hAnsi="Times New Roman"/>
          <w:bCs/>
          <w:sz w:val="28"/>
          <w:szCs w:val="28"/>
        </w:rPr>
        <w:t>риказ</w:t>
      </w:r>
      <w:r>
        <w:rPr>
          <w:rFonts w:ascii="Times New Roman" w:hAnsi="Times New Roman"/>
          <w:bCs/>
          <w:sz w:val="28"/>
          <w:szCs w:val="28"/>
        </w:rPr>
        <w:t>а</w:t>
      </w:r>
      <w:r w:rsidRPr="000A77DA">
        <w:rPr>
          <w:rFonts w:ascii="Times New Roman" w:hAnsi="Times New Roman"/>
          <w:bCs/>
          <w:sz w:val="28"/>
          <w:szCs w:val="28"/>
        </w:rPr>
        <w:t xml:space="preserve"> Министерства просвещения Российской Федерации от 22</w:t>
      </w:r>
      <w:r>
        <w:rPr>
          <w:rFonts w:ascii="Times New Roman" w:hAnsi="Times New Roman"/>
          <w:bCs/>
          <w:sz w:val="28"/>
          <w:szCs w:val="28"/>
        </w:rPr>
        <w:t xml:space="preserve"> сентября </w:t>
      </w:r>
      <w:r w:rsidRPr="000A77DA">
        <w:rPr>
          <w:rFonts w:ascii="Times New Roman" w:hAnsi="Times New Roman"/>
          <w:bCs/>
          <w:sz w:val="28"/>
          <w:szCs w:val="28"/>
        </w:rPr>
        <w:t>2021 № 662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0A77DA">
        <w:rPr>
          <w:rFonts w:ascii="Times New Roman" w:hAnsi="Times New Roman"/>
          <w:bCs/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>
        <w:rPr>
          <w:rFonts w:ascii="Times New Roman" w:hAnsi="Times New Roman"/>
          <w:bCs/>
          <w:sz w:val="28"/>
          <w:szCs w:val="28"/>
        </w:rPr>
        <w:t>ным (муниципальным) учреждением», в</w:t>
      </w:r>
      <w:r w:rsidRPr="00026279">
        <w:rPr>
          <w:rFonts w:ascii="Times New Roman" w:hAnsi="Times New Roman"/>
          <w:bCs/>
          <w:sz w:val="28"/>
          <w:szCs w:val="28"/>
        </w:rPr>
        <w:t>о исполнение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79E5">
        <w:rPr>
          <w:rFonts w:ascii="Times New Roman" w:hAnsi="Times New Roman"/>
          <w:bCs/>
          <w:sz w:val="28"/>
          <w:szCs w:val="28"/>
        </w:rPr>
        <w:t>администрации Новоселицкого муниципального округа Ставропольского края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Pr="00FF519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193">
        <w:rPr>
          <w:rFonts w:ascii="Times New Roman" w:hAnsi="Times New Roman" w:cs="Times New Roman"/>
          <w:sz w:val="28"/>
          <w:szCs w:val="28"/>
        </w:rPr>
        <w:t>г. № 241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Новоселицкого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E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80E38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bookmarkStart w:id="1" w:name="_Hlk141261021"/>
      <w:r w:rsidRPr="00F80E38">
        <w:rPr>
          <w:rFonts w:ascii="Times New Roman" w:hAnsi="Times New Roman" w:cs="Times New Roman"/>
          <w:bCs/>
          <w:sz w:val="28"/>
          <w:szCs w:val="28"/>
        </w:rPr>
        <w:t>администрации Новоселицкого</w:t>
      </w:r>
      <w:r w:rsidRPr="00F80E38">
        <w:rPr>
          <w:rFonts w:ascii="Times New Roman" w:hAnsi="Times New Roman"/>
          <w:bCs/>
          <w:sz w:val="28"/>
          <w:szCs w:val="28"/>
        </w:rPr>
        <w:t xml:space="preserve"> </w:t>
      </w:r>
      <w:r w:rsidRPr="001C79E5">
        <w:rPr>
          <w:rFonts w:ascii="Times New Roman" w:hAnsi="Times New Roman"/>
          <w:bCs/>
          <w:sz w:val="28"/>
          <w:szCs w:val="28"/>
        </w:rPr>
        <w:t xml:space="preserve">муниципального округа Ставропольского края </w:t>
      </w:r>
      <w:bookmarkEnd w:id="1"/>
      <w:r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28 апреля 2023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/>
          <w:sz w:val="28"/>
          <w:szCs w:val="28"/>
          <w:lang w:eastAsia="ar-SA"/>
        </w:rPr>
        <w:t xml:space="preserve"> 279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F80E38">
        <w:rPr>
          <w:rFonts w:ascii="Times New Roman" w:hAnsi="Times New Roman"/>
          <w:sz w:val="28"/>
          <w:szCs w:val="28"/>
          <w:lang w:eastAsia="ar-SA"/>
        </w:rPr>
        <w:t xml:space="preserve">порядке 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ascii="Times New Roman" w:hAnsi="Times New Roman"/>
          <w:sz w:val="28"/>
          <w:szCs w:val="28"/>
          <w:lang w:eastAsia="ar-SA"/>
        </w:rPr>
        <w:t xml:space="preserve">органов местного самоуправления </w:t>
      </w:r>
      <w:r w:rsidRPr="00F80E38">
        <w:rPr>
          <w:rFonts w:ascii="Times New Roman" w:hAnsi="Times New Roman"/>
          <w:sz w:val="28"/>
          <w:szCs w:val="28"/>
          <w:lang w:eastAsia="ar-SA"/>
        </w:rPr>
        <w:t>Новоселицкого муниципального округа Ставропольского края, о форм</w:t>
      </w:r>
      <w:r>
        <w:rPr>
          <w:rFonts w:ascii="Times New Roman" w:hAnsi="Times New Roman"/>
          <w:sz w:val="28"/>
          <w:szCs w:val="28"/>
          <w:lang w:eastAsia="ar-SA"/>
        </w:rPr>
        <w:t>ах</w:t>
      </w:r>
      <w:r w:rsidRPr="00F80E38">
        <w:rPr>
          <w:rFonts w:ascii="Times New Roman" w:hAnsi="Times New Roman"/>
          <w:sz w:val="28"/>
          <w:szCs w:val="28"/>
          <w:lang w:eastAsia="ar-SA"/>
        </w:rPr>
        <w:t xml:space="preserve"> и сроках формирования отчета об их исполнении»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F80E3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143A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Ставропольского края</w:t>
      </w:r>
    </w:p>
    <w:p w14:paraId="79C9EA61" w14:textId="77777777" w:rsidR="00F80E38" w:rsidRDefault="00F80E38" w:rsidP="006369E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CE58BA4" w14:textId="1C871B1D" w:rsidR="003128E2" w:rsidRDefault="00F80E38" w:rsidP="0063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627E32F" w14:textId="77777777" w:rsidR="00345AC6" w:rsidRPr="003B3CF2" w:rsidRDefault="00345AC6" w:rsidP="00636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08B5BD" w14:textId="7FCAE62D" w:rsidR="003128E2" w:rsidRDefault="003128E2" w:rsidP="006369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1.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A56162" w:rsidRPr="00A56162">
        <w:rPr>
          <w:rFonts w:ascii="Times New Roman" w:hAnsi="Times New Roman" w:cs="Times New Roman"/>
          <w:sz w:val="28"/>
          <w:szCs w:val="28"/>
          <w:lang w:eastAsia="ar-SA"/>
        </w:rPr>
        <w:t>Утвердить 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 (приложение 1).</w:t>
      </w:r>
    </w:p>
    <w:p w14:paraId="5FCC5104" w14:textId="77777777" w:rsidR="0091112C" w:rsidRPr="003B3CF2" w:rsidRDefault="0091112C" w:rsidP="006369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A310DCB" w14:textId="136DECB4" w:rsidR="003128E2" w:rsidRDefault="003128E2" w:rsidP="006369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C79E5" w:rsidRPr="001C79E5">
        <w:rPr>
          <w:rFonts w:ascii="Times New Roman" w:hAnsi="Times New Roman" w:cs="Times New Roman"/>
          <w:sz w:val="28"/>
          <w:szCs w:val="28"/>
          <w:lang w:eastAsia="ar-SA"/>
        </w:rPr>
        <w:t>Отделу образования администрации Новоселицкого муниципального округа Ставропольского края разместить настоящее постановление на официальном сайте администрации Новоселицкого муниципального округа Ставропольского края в информационно-коммуникационной сети Интернет.</w:t>
      </w:r>
    </w:p>
    <w:p w14:paraId="560ADC96" w14:textId="77777777" w:rsidR="0091112C" w:rsidRPr="003B3CF2" w:rsidRDefault="0091112C" w:rsidP="006369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50AE8D7" w14:textId="738902A8" w:rsidR="00F80E38" w:rsidRDefault="003128E2" w:rsidP="006369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54CC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54CC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C79E5" w:rsidRPr="001C79E5">
        <w:rPr>
          <w:rFonts w:ascii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FBB079F" w14:textId="77777777" w:rsidR="0091112C" w:rsidRPr="003B3CF2" w:rsidRDefault="0091112C" w:rsidP="006369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6DDE7C7" w14:textId="7CB2B390" w:rsidR="00F80E38" w:rsidRDefault="00F80E38" w:rsidP="006369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C54CC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80E38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на следующий 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ень после </w:t>
      </w:r>
      <w:r w:rsidRPr="00F80E38">
        <w:rPr>
          <w:rFonts w:ascii="Times New Roman" w:hAnsi="Times New Roman" w:cs="Times New Roman"/>
          <w:sz w:val="28"/>
          <w:szCs w:val="28"/>
          <w:lang w:eastAsia="ar-SA"/>
        </w:rPr>
        <w:t>его официального опубликования (обнародования).</w:t>
      </w:r>
    </w:p>
    <w:p w14:paraId="221FDE23" w14:textId="77777777" w:rsidR="001C79E5" w:rsidRPr="003B3CF2" w:rsidRDefault="001C79E5" w:rsidP="006369E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99AB73" w14:textId="77777777" w:rsidR="001C79E5" w:rsidRPr="003B3CF2" w:rsidRDefault="001C79E5" w:rsidP="006369E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53203D" w14:textId="77777777" w:rsidR="001C79E5" w:rsidRPr="003B3CF2" w:rsidRDefault="001C79E5" w:rsidP="006369E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08863F" w14:textId="77777777" w:rsidR="001C79E5" w:rsidRPr="00FF5193" w:rsidRDefault="001C79E5" w:rsidP="008D1002">
      <w:pPr>
        <w:tabs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</w:p>
    <w:p w14:paraId="0B1300AC" w14:textId="77777777" w:rsidR="001C79E5" w:rsidRPr="00FF5193" w:rsidRDefault="001C79E5" w:rsidP="008D1002">
      <w:pPr>
        <w:tabs>
          <w:tab w:val="left" w:pos="1276"/>
          <w:tab w:val="left" w:pos="354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30D7B88" w14:textId="14A676E9" w:rsidR="001C79E5" w:rsidRDefault="008D1002" w:rsidP="008D1002">
      <w:pPr>
        <w:tabs>
          <w:tab w:val="left" w:pos="1276"/>
          <w:tab w:val="left" w:pos="354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79E5" w:rsidRPr="00FF5193">
        <w:rPr>
          <w:rFonts w:ascii="Times New Roman" w:hAnsi="Times New Roman" w:cs="Times New Roman"/>
          <w:sz w:val="28"/>
          <w:szCs w:val="28"/>
        </w:rPr>
        <w:t xml:space="preserve">    </w:t>
      </w:r>
      <w:r w:rsidR="006369EF">
        <w:rPr>
          <w:rFonts w:ascii="Times New Roman" w:hAnsi="Times New Roman" w:cs="Times New Roman"/>
          <w:sz w:val="28"/>
          <w:szCs w:val="28"/>
        </w:rPr>
        <w:t xml:space="preserve"> </w:t>
      </w:r>
      <w:r w:rsidR="001C79E5" w:rsidRPr="00FF5193">
        <w:rPr>
          <w:rFonts w:ascii="Times New Roman" w:hAnsi="Times New Roman" w:cs="Times New Roman"/>
          <w:sz w:val="28"/>
          <w:szCs w:val="28"/>
        </w:rPr>
        <w:t xml:space="preserve">  О.С. Безменов</w:t>
      </w:r>
    </w:p>
    <w:p w14:paraId="5415334F" w14:textId="77777777" w:rsidR="00BD143A" w:rsidRPr="003B3CF2" w:rsidRDefault="00BD143A" w:rsidP="008D1002">
      <w:pPr>
        <w:tabs>
          <w:tab w:val="left" w:pos="1276"/>
          <w:tab w:val="left" w:pos="354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B43258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B536763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E89DE9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0BF5B02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1FE043D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B261B8C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D54C5CD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CB4C1E9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F50347A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127ECD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B5DDB0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227F88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A5B6AD6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B588F3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BC305B5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2F3B35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A7EB240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6F32BCD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1C3209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A74315E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42CD5EB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DC3E267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0D134C" w14:textId="77777777" w:rsidR="006369EF" w:rsidRDefault="006369EF" w:rsidP="0091112C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4D93F0" w14:textId="512C7D65" w:rsidR="00FA4C7F" w:rsidRDefault="00FA4C7F" w:rsidP="006369EF">
      <w:pPr>
        <w:suppressAutoHyphens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4C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14:paraId="64A0F324" w14:textId="77777777" w:rsidR="0091112C" w:rsidRDefault="0091112C" w:rsidP="006369EF">
      <w:pPr>
        <w:suppressAutoHyphens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531AE8" w14:textId="7232EC5A" w:rsidR="00FA4C7F" w:rsidRDefault="008D1002" w:rsidP="006369EF">
      <w:pPr>
        <w:suppressAutoHyphens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 w:rsidR="00FA4C7F" w:rsidRPr="00FA4C7F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</w:p>
    <w:p w14:paraId="7571F2E7" w14:textId="26A233A8" w:rsidR="00FA4C7F" w:rsidRDefault="00FA4C7F" w:rsidP="006369EF">
      <w:pPr>
        <w:suppressAutoHyphens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4C7F">
        <w:rPr>
          <w:rFonts w:ascii="Times New Roman" w:hAnsi="Times New Roman" w:cs="Times New Roman"/>
          <w:sz w:val="28"/>
          <w:szCs w:val="28"/>
          <w:lang w:eastAsia="ar-SA"/>
        </w:rPr>
        <w:t>Новоселицкого муниципального округа</w:t>
      </w:r>
    </w:p>
    <w:p w14:paraId="303156C0" w14:textId="1D7CFDDC" w:rsidR="00FA4C7F" w:rsidRDefault="00FA4C7F" w:rsidP="006369EF">
      <w:pPr>
        <w:suppressAutoHyphens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4C7F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</w:p>
    <w:p w14:paraId="5F239F1C" w14:textId="77777777" w:rsidR="006369EF" w:rsidRDefault="006369EF" w:rsidP="006369EF">
      <w:pPr>
        <w:suppressAutoHyphens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D9C143" w14:textId="70C2FC48" w:rsidR="00FA4C7F" w:rsidRPr="00FA4C7F" w:rsidRDefault="00FA4C7F" w:rsidP="006369EF">
      <w:pPr>
        <w:suppressAutoHyphens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4C7F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6369EF">
        <w:rPr>
          <w:rFonts w:ascii="Times New Roman" w:hAnsi="Times New Roman" w:cs="Times New Roman"/>
          <w:sz w:val="28"/>
          <w:szCs w:val="28"/>
          <w:lang w:eastAsia="ar-SA"/>
        </w:rPr>
        <w:t xml:space="preserve">25 августа </w:t>
      </w:r>
      <w:r w:rsidRPr="00FA4C7F">
        <w:rPr>
          <w:rFonts w:ascii="Times New Roman" w:hAnsi="Times New Roman" w:cs="Times New Roman"/>
          <w:sz w:val="28"/>
          <w:szCs w:val="28"/>
          <w:lang w:eastAsia="ar-SA"/>
        </w:rPr>
        <w:t xml:space="preserve">2023 </w:t>
      </w:r>
      <w:r w:rsidR="006369EF">
        <w:rPr>
          <w:rFonts w:ascii="Times New Roman" w:hAnsi="Times New Roman" w:cs="Times New Roman"/>
          <w:sz w:val="28"/>
          <w:szCs w:val="28"/>
          <w:lang w:eastAsia="ar-SA"/>
        </w:rPr>
        <w:t>г.</w:t>
      </w:r>
      <w:r w:rsidRPr="00FA4C7F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6369EF">
        <w:rPr>
          <w:rFonts w:ascii="Times New Roman" w:hAnsi="Times New Roman" w:cs="Times New Roman"/>
          <w:sz w:val="28"/>
          <w:szCs w:val="28"/>
          <w:lang w:eastAsia="ar-SA"/>
        </w:rPr>
        <w:t xml:space="preserve"> 556</w:t>
      </w:r>
    </w:p>
    <w:p w14:paraId="0A8F04C9" w14:textId="0FD82C6A" w:rsidR="003128E2" w:rsidRDefault="003128E2" w:rsidP="00345AC6">
      <w:pPr>
        <w:suppressAutoHyphens/>
        <w:spacing w:after="0" w:line="36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81AAE" w14:textId="77777777" w:rsidR="003128E2" w:rsidRPr="00FA4C7F" w:rsidRDefault="003128E2" w:rsidP="00345AC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BF3994" w14:textId="77777777" w:rsidR="00393586" w:rsidRPr="00FA4C7F" w:rsidRDefault="00393586" w:rsidP="00345AC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A4C7F">
        <w:rPr>
          <w:rFonts w:ascii="Times New Roman" w:hAnsi="Times New Roman" w:cs="Times New Roman"/>
          <w:bCs/>
          <w:sz w:val="28"/>
          <w:szCs w:val="28"/>
        </w:rPr>
        <w:t>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Pr="00FA4C7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24BCD7F" w14:textId="77777777" w:rsidR="00AB3308" w:rsidRPr="009E3488" w:rsidRDefault="00AB3308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75595" w14:textId="1BF079BE" w:rsidR="00AB3308" w:rsidRDefault="00AB3308" w:rsidP="00345AC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C7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637946F8" w14:textId="77777777" w:rsidR="00345AC6" w:rsidRPr="00FA4C7F" w:rsidRDefault="00345AC6" w:rsidP="00345AC6">
      <w:pPr>
        <w:tabs>
          <w:tab w:val="left" w:pos="142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14:paraId="2395E4B1" w14:textId="03555709" w:rsidR="0096678F" w:rsidRDefault="0096678F" w:rsidP="00345A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8F">
        <w:rPr>
          <w:rFonts w:ascii="Times New Roman" w:hAnsi="Times New Roman" w:cs="Times New Roman"/>
          <w:sz w:val="28"/>
          <w:szCs w:val="28"/>
        </w:rPr>
        <w:t>Настоящий Порядок определения нормативных затрат на оказание муниципальной услуги в соответствии с социальным сертификатом по реализации дополнительных общеразвивающих программ (далее - Порядок) устанавливает порядок определения величины составляющих базовых нормативов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F8B7ED" w14:textId="77777777" w:rsidR="006369EF" w:rsidRDefault="006369EF" w:rsidP="006369E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0DC508" w14:textId="0FB50021" w:rsidR="00AB3308" w:rsidRDefault="00AB3308" w:rsidP="00345A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Настоящ</w:t>
      </w:r>
      <w:r w:rsidR="003736B6">
        <w:rPr>
          <w:rFonts w:ascii="Times New Roman" w:hAnsi="Times New Roman" w:cs="Times New Roman"/>
          <w:sz w:val="28"/>
          <w:szCs w:val="28"/>
        </w:rPr>
        <w:t>ий</w:t>
      </w:r>
      <w:r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736B6">
        <w:rPr>
          <w:rFonts w:ascii="Times New Roman" w:hAnsi="Times New Roman" w:cs="Times New Roman"/>
          <w:sz w:val="28"/>
          <w:szCs w:val="28"/>
        </w:rPr>
        <w:t>Порядок</w:t>
      </w:r>
      <w:r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применяется</w:t>
      </w:r>
      <w:r w:rsidR="00C61B44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>уполномоченными органами муниципальных округов</w:t>
      </w:r>
      <w:r w:rsidR="008575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4C7F">
        <w:rPr>
          <w:rFonts w:ascii="Times New Roman" w:hAnsi="Times New Roman" w:cs="Times New Roman"/>
          <w:spacing w:val="-2"/>
          <w:sz w:val="28"/>
          <w:szCs w:val="28"/>
        </w:rPr>
        <w:t>Ставропольского края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котор</w:t>
      </w:r>
      <w:r w:rsidR="003A24C6" w:rsidRPr="009E348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824676" w:rsidRPr="009E348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выполня</w:t>
      </w:r>
      <w:r w:rsidR="003A24C6" w:rsidRPr="009E3488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т функции учредител</w:t>
      </w:r>
      <w:r w:rsidR="00824676" w:rsidRPr="009E348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организаций, реализующих </w:t>
      </w:r>
      <w:r w:rsidR="003A24C6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общеобразовательные 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общеразвивающие программы</w:t>
      </w:r>
      <w:r w:rsidR="000A27CD" w:rsidRPr="009E348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при оказании услуг по реализации дополнительных общеобразовательных 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общеразвивающих 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>программ в системе персонифицированного финансирования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, а также в целях реализации обязательств перед </w:t>
      </w:r>
      <w:r w:rsidR="00BE7BB3" w:rsidRPr="00BE7BB3">
        <w:rPr>
          <w:rFonts w:ascii="Times New Roman" w:hAnsi="Times New Roman" w:cs="Times New Roman"/>
          <w:spacing w:val="-2"/>
          <w:sz w:val="28"/>
          <w:szCs w:val="28"/>
        </w:rPr>
        <w:t xml:space="preserve">бюджетными и автономными организациями, учредителем которых не является уполномоченный орган, некоммерческими организациями и коммерческими организациями </w:t>
      </w:r>
      <w:r w:rsidR="007A69A7" w:rsidRPr="009E348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BE7BB3">
        <w:rPr>
          <w:rFonts w:ascii="Times New Roman" w:hAnsi="Times New Roman" w:cs="Times New Roman"/>
          <w:spacing w:val="-2"/>
          <w:sz w:val="28"/>
          <w:szCs w:val="28"/>
        </w:rPr>
        <w:t xml:space="preserve">в том числе </w:t>
      </w:r>
      <w:r w:rsidR="007A69A7" w:rsidRPr="009E3488">
        <w:rPr>
          <w:rFonts w:ascii="Times New Roman" w:hAnsi="Times New Roman" w:cs="Times New Roman"/>
          <w:spacing w:val="-2"/>
          <w:sz w:val="28"/>
          <w:szCs w:val="28"/>
        </w:rPr>
        <w:t>индивидуальными предпринимателя</w:t>
      </w:r>
      <w:r w:rsidR="00696351">
        <w:rPr>
          <w:rFonts w:ascii="Times New Roman" w:hAnsi="Times New Roman" w:cs="Times New Roman"/>
          <w:spacing w:val="-2"/>
          <w:sz w:val="28"/>
          <w:szCs w:val="28"/>
        </w:rPr>
        <w:t>ми</w:t>
      </w:r>
      <w:r w:rsidR="007A69A7" w:rsidRPr="009E3488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, возникающих в рамках </w:t>
      </w:r>
      <w:r w:rsidR="005417E3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системы 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>персонифицированного финансирования.</w:t>
      </w:r>
      <w:r w:rsidR="002E3BFF" w:rsidRPr="002E3BFF">
        <w:rPr>
          <w:rFonts w:ascii="Times New Roman" w:hAnsi="Times New Roman" w:cs="Times New Roman"/>
          <w:sz w:val="28"/>
          <w:szCs w:val="28"/>
        </w:rPr>
        <w:t xml:space="preserve"> 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E3BFF">
        <w:rPr>
          <w:rFonts w:ascii="Times New Roman" w:hAnsi="Times New Roman" w:cs="Times New Roman"/>
          <w:sz w:val="28"/>
          <w:szCs w:val="28"/>
        </w:rPr>
        <w:t>основных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 параметров</w:t>
      </w:r>
      <w:r w:rsidR="002E3BFF">
        <w:rPr>
          <w:rFonts w:ascii="Times New Roman" w:hAnsi="Times New Roman" w:cs="Times New Roman"/>
          <w:sz w:val="28"/>
          <w:szCs w:val="28"/>
        </w:rPr>
        <w:t xml:space="preserve"> и отраслевых коэффициентов</w:t>
      </w:r>
      <w:r w:rsidR="002E3BFF" w:rsidRPr="00A31E19">
        <w:rPr>
          <w:rFonts w:ascii="Times New Roman" w:hAnsi="Times New Roman" w:cs="Times New Roman"/>
          <w:sz w:val="28"/>
          <w:szCs w:val="28"/>
        </w:rPr>
        <w:t>, используемых для определения нормативн</w:t>
      </w:r>
      <w:r w:rsidR="002E3BFF">
        <w:rPr>
          <w:rFonts w:ascii="Times New Roman" w:hAnsi="Times New Roman" w:cs="Times New Roman"/>
          <w:sz w:val="28"/>
          <w:szCs w:val="28"/>
        </w:rPr>
        <w:t>ых затрат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 </w:t>
      </w:r>
      <w:r w:rsidR="002E3BFF" w:rsidRPr="009E3488">
        <w:rPr>
          <w:rFonts w:ascii="Times New Roman" w:hAnsi="Times New Roman" w:cs="Times New Roman"/>
          <w:sz w:val="28"/>
          <w:szCs w:val="28"/>
        </w:rPr>
        <w:t>на оказание муниципальных услуг по реализации дополнительных общеобразовательных общеразвивающих программ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="002E3BF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437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4C7F" w:rsidRPr="00FA4C7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="002E3BFF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E3BFF" w:rsidRPr="00A31E19">
        <w:rPr>
          <w:rFonts w:ascii="Times New Roman" w:hAnsi="Times New Roman" w:cs="Times New Roman"/>
          <w:sz w:val="28"/>
          <w:szCs w:val="28"/>
        </w:rPr>
        <w:t>.</w:t>
      </w:r>
    </w:p>
    <w:p w14:paraId="2DD2B44D" w14:textId="77777777" w:rsidR="006369EF" w:rsidRPr="009E3488" w:rsidRDefault="006369EF" w:rsidP="006369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CC3E2" w14:textId="2277B6D6" w:rsidR="00AB3308" w:rsidRPr="009E3488" w:rsidRDefault="00AB3308" w:rsidP="00345A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Настоящ</w:t>
      </w:r>
      <w:r w:rsidR="003736B6">
        <w:rPr>
          <w:rFonts w:ascii="Times New Roman" w:hAnsi="Times New Roman" w:cs="Times New Roman"/>
          <w:sz w:val="28"/>
          <w:szCs w:val="28"/>
        </w:rPr>
        <w:t>ий</w:t>
      </w:r>
      <w:r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736B6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8575E4">
        <w:rPr>
          <w:rFonts w:ascii="Times New Roman" w:hAnsi="Times New Roman" w:cs="Times New Roman"/>
          <w:spacing w:val="-1"/>
          <w:sz w:val="28"/>
          <w:szCs w:val="28"/>
        </w:rPr>
        <w:t xml:space="preserve">разработан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в целях:</w:t>
      </w:r>
    </w:p>
    <w:p w14:paraId="2903983C" w14:textId="3B645B35" w:rsidR="00AB3308" w:rsidRPr="009E3488" w:rsidRDefault="00AB3308" w:rsidP="00345AC6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F3F544" w14:textId="65A038A8" w:rsidR="00AB3308" w:rsidRDefault="00AB3308" w:rsidP="00345AC6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lastRenderedPageBreak/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4EAA7712" w14:textId="77777777" w:rsidR="006369EF" w:rsidRPr="009E3488" w:rsidRDefault="006369EF" w:rsidP="00345AC6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EC82E" w14:textId="72A92D34" w:rsidR="007A69A7" w:rsidRPr="00696351" w:rsidRDefault="007A69A7" w:rsidP="00345A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</w:t>
      </w:r>
      <w:r w:rsidR="000879DD">
        <w:rPr>
          <w:rFonts w:ascii="Times New Roman" w:hAnsi="Times New Roman" w:cs="Times New Roman"/>
          <w:sz w:val="28"/>
          <w:szCs w:val="28"/>
        </w:rPr>
        <w:t xml:space="preserve"> и</w:t>
      </w:r>
      <w:r w:rsidRPr="009E3488">
        <w:rPr>
          <w:rFonts w:ascii="Times New Roman" w:hAnsi="Times New Roman" w:cs="Times New Roman"/>
          <w:sz w:val="28"/>
          <w:szCs w:val="28"/>
        </w:rPr>
        <w:t xml:space="preserve"> реализующие дополнительные 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</w:t>
      </w:r>
      <w:r w:rsidR="00045F5D" w:rsidRPr="00BE7BB3">
        <w:rPr>
          <w:rFonts w:ascii="Times New Roman" w:hAnsi="Times New Roman" w:cs="Times New Roman"/>
          <w:sz w:val="28"/>
          <w:szCs w:val="28"/>
        </w:rPr>
        <w:t>рассчитанные в порядке, установленном настоящ</w:t>
      </w:r>
      <w:r w:rsidR="003736B6" w:rsidRPr="00BE7BB3">
        <w:rPr>
          <w:rFonts w:ascii="Times New Roman" w:hAnsi="Times New Roman" w:cs="Times New Roman"/>
          <w:sz w:val="28"/>
          <w:szCs w:val="28"/>
        </w:rPr>
        <w:t>им</w:t>
      </w:r>
      <w:r w:rsidR="00045F5D" w:rsidRPr="00BE7BB3">
        <w:rPr>
          <w:rFonts w:ascii="Times New Roman" w:hAnsi="Times New Roman" w:cs="Times New Roman"/>
          <w:sz w:val="28"/>
          <w:szCs w:val="28"/>
        </w:rPr>
        <w:t xml:space="preserve"> </w:t>
      </w:r>
      <w:r w:rsidR="003736B6" w:rsidRPr="00BE7BB3">
        <w:rPr>
          <w:rFonts w:ascii="Times New Roman" w:hAnsi="Times New Roman" w:cs="Times New Roman"/>
          <w:sz w:val="28"/>
          <w:szCs w:val="28"/>
        </w:rPr>
        <w:t>Порядком</w:t>
      </w:r>
      <w:r w:rsidR="00696351" w:rsidRPr="00BE7BB3">
        <w:rPr>
          <w:rFonts w:ascii="Times New Roman" w:hAnsi="Times New Roman" w:cs="Times New Roman"/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 w14:paraId="6F14DF68" w14:textId="77777777" w:rsidR="00AB3308" w:rsidRPr="009E3488" w:rsidRDefault="00AB3308" w:rsidP="00345AC6">
      <w:pPr>
        <w:shd w:val="clear" w:color="auto" w:fill="FFFFFF"/>
        <w:tabs>
          <w:tab w:val="left" w:pos="883"/>
        </w:tabs>
        <w:spacing w:after="0" w:line="240" w:lineRule="auto"/>
        <w:ind w:firstLine="8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ECB9158" w14:textId="10F88823" w:rsidR="00AB3308" w:rsidRPr="00FA4C7F" w:rsidRDefault="00AB3308" w:rsidP="00345AC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885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A4C7F">
        <w:rPr>
          <w:rFonts w:ascii="Times New Roman" w:hAnsi="Times New Roman" w:cs="Times New Roman"/>
          <w:bCs/>
          <w:sz w:val="28"/>
          <w:szCs w:val="28"/>
        </w:rPr>
        <w:t xml:space="preserve">Расчет нормативных затрат на оказание </w:t>
      </w:r>
      <w:r w:rsidR="00A87442" w:rsidRPr="00FA4C7F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FA4C7F">
        <w:rPr>
          <w:rFonts w:ascii="Times New Roman" w:hAnsi="Times New Roman" w:cs="Times New Roman"/>
          <w:bCs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14:paraId="32939A7C" w14:textId="77777777" w:rsidR="00AB3308" w:rsidRPr="009E3488" w:rsidRDefault="00AB3308" w:rsidP="00345AC6">
      <w:pPr>
        <w:pStyle w:val="a7"/>
        <w:spacing w:after="0" w:line="240" w:lineRule="auto"/>
        <w:ind w:firstLine="885"/>
        <w:jc w:val="both"/>
        <w:rPr>
          <w:sz w:val="28"/>
          <w:szCs w:val="28"/>
        </w:rPr>
      </w:pPr>
    </w:p>
    <w:p w14:paraId="639A65C1" w14:textId="650C7912" w:rsidR="00AB3308" w:rsidRPr="009E3488" w:rsidRDefault="00AB3308" w:rsidP="00345AC6">
      <w:pPr>
        <w:numPr>
          <w:ilvl w:val="0"/>
          <w:numId w:val="1"/>
        </w:numPr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353E8DBB" w14:textId="7CA6D8E8" w:rsidR="00AB3308" w:rsidRDefault="00AB3308" w:rsidP="00345AC6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Объем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услуг по реализации дополнительных общеобразовательных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 w14:paraId="27DC47A6" w14:textId="77777777" w:rsidR="006369EF" w:rsidRPr="009E3488" w:rsidRDefault="006369EF" w:rsidP="00345AC6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BD018FF" w14:textId="3F78C3C4" w:rsidR="00AB3308" w:rsidRPr="009E3488" w:rsidRDefault="00AB3308" w:rsidP="00345AC6">
      <w:pPr>
        <w:numPr>
          <w:ilvl w:val="0"/>
          <w:numId w:val="1"/>
        </w:numPr>
        <w:shd w:val="clear" w:color="auto" w:fill="FFFFFF"/>
        <w:tabs>
          <w:tab w:val="left" w:pos="8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Нормативные затраты на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услуг по реализации дополнительных общеобразовательных общеразвивающих программ определяются по следующей формуле:</w:t>
      </w:r>
    </w:p>
    <w:p w14:paraId="29AB27F4" w14:textId="7BD0AF8B" w:rsidR="00855F09" w:rsidRPr="009E3488" w:rsidRDefault="006369EF" w:rsidP="00345AC6">
      <w:pPr>
        <w:shd w:val="clear" w:color="auto" w:fill="FFFFFF"/>
        <w:tabs>
          <w:tab w:val="left" w:pos="88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баз 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r w:rsidR="00855F09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855F09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262895C8" w14:textId="791B4C5D" w:rsidR="00855F09" w:rsidRPr="009E3488" w:rsidDel="000A27CD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855F09" w:rsidRPr="009E3488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</w:t>
      </w:r>
      <w:r w:rsidR="00855F09" w:rsidRPr="009E3488" w:rsidDel="000A27C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55F09" w:rsidRPr="009E3488" w:rsidDel="000A27CD">
        <w:rPr>
          <w:rFonts w:ascii="Times New Roman" w:hAnsi="Times New Roman" w:cs="Times New Roman"/>
          <w:sz w:val="28"/>
          <w:szCs w:val="28"/>
        </w:rPr>
        <w:t xml:space="preserve">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9E57C6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855F09" w:rsidRPr="009E3488" w:rsidDel="000A27CD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855F09" w:rsidRPr="009E3488" w:rsidDel="000A27C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14:paraId="7E06E0D6" w14:textId="64ACDE7B" w:rsidR="00855F09" w:rsidRPr="009E3488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баз </m:t>
            </m:r>
          </m:sub>
        </m:sSub>
      </m:oMath>
      <w:r w:rsidR="00855F09" w:rsidRPr="009E3488">
        <w:rPr>
          <w:rFonts w:ascii="Times New Roman" w:eastAsia="MS PGothic" w:hAnsi="Times New Roman" w:cs="Times New Roman"/>
          <w:b/>
          <w:bCs/>
          <w:i/>
          <w:kern w:val="24"/>
          <w:sz w:val="28"/>
          <w:szCs w:val="28"/>
        </w:rPr>
        <w:t xml:space="preserve"> 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855F09" w:rsidRPr="009E3488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r w:rsidR="00855F09" w:rsidRPr="009E348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55F09" w:rsidRPr="009E3488">
        <w:rPr>
          <w:rFonts w:ascii="Times New Roman" w:hAnsi="Times New Roman" w:cs="Times New Roman"/>
          <w:sz w:val="28"/>
          <w:szCs w:val="28"/>
        </w:rPr>
        <w:t xml:space="preserve">-той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9E57C6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855F09" w:rsidRPr="009E3488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14:paraId="68EC6102" w14:textId="48B57F73" w:rsidR="00855F09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r w:rsidR="00855F09" w:rsidRPr="009E3488">
        <w:rPr>
          <w:rFonts w:ascii="Times New Roman" w:eastAsia="MS PGothic" w:hAnsi="Times New Roman" w:cs="Times New Roman"/>
          <w:b/>
          <w:bCs/>
          <w:i/>
          <w:kern w:val="24"/>
          <w:sz w:val="28"/>
          <w:szCs w:val="28"/>
        </w:rPr>
        <w:t xml:space="preserve"> 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</w:t>
      </w:r>
      <w:r w:rsidR="009E57C6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.</w:t>
      </w:r>
      <w:r w:rsidR="002E3BFF" w:rsidRPr="002E3BFF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="002E3BFF" w:rsidRPr="00992081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Значения отраслевых коэффициентов устанавливаются </w:t>
      </w:r>
      <w:r w:rsidR="002E3BFF" w:rsidRPr="00992081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14:paraId="75E737F0" w14:textId="77777777" w:rsidR="006369EF" w:rsidRPr="009E3488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14:paraId="16782D4A" w14:textId="140A9C7F" w:rsidR="009E57C6" w:rsidRPr="009E3488" w:rsidRDefault="009E57C6" w:rsidP="00345AC6">
      <w:pPr>
        <w:numPr>
          <w:ilvl w:val="0"/>
          <w:numId w:val="1"/>
        </w:numPr>
        <w:shd w:val="clear" w:color="auto" w:fill="FFFFFF"/>
        <w:tabs>
          <w:tab w:val="left" w:pos="8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Базовый норматив затрат на оказание i-той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общеобразовательных общеразвивающих программ рассчитываются по следующей формуле: </w:t>
      </w:r>
    </w:p>
    <w:p w14:paraId="6DA68A82" w14:textId="3A70BFFC" w:rsidR="00CC0D6A" w:rsidRPr="009E3488" w:rsidRDefault="006369EF" w:rsidP="00345AC6">
      <w:pPr>
        <w:shd w:val="clear" w:color="auto" w:fill="FFFFFF"/>
        <w:tabs>
          <w:tab w:val="left" w:pos="88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CC0D6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5F449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CC0D6A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4566A99C" w14:textId="6A7D5D71" w:rsidR="00AB3308" w:rsidRPr="009E3488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</m:oMath>
      <w:r w:rsidR="00AB3308" w:rsidRPr="009E3488">
        <w:rPr>
          <w:rFonts w:ascii="Times New Roman" w:eastAsia="MS PGothic" w:hAnsi="Times New Roman" w:cs="Times New Roman"/>
          <w:b/>
          <w:bCs/>
          <w:i/>
          <w:kern w:val="24"/>
          <w:sz w:val="28"/>
          <w:szCs w:val="28"/>
        </w:rPr>
        <w:t xml:space="preserve">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r w:rsidR="00AB3308" w:rsidRPr="009E348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-той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9E57C6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14:paraId="0E858EF5" w14:textId="6F9674AD" w:rsidR="00AB3308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</m:oMath>
      <w:r w:rsidR="00AB3308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–</w:t>
      </w:r>
      <w:r w:rsidR="009E57C6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i-ой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14:paraId="34C9F2D8" w14:textId="4259F83C" w:rsidR="00AB3308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AB3308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0A27CD" w:rsidRPr="009E3488">
        <w:rPr>
          <w:rFonts w:ascii="Times New Roman" w:hAnsi="Times New Roman" w:cs="Times New Roman"/>
          <w:sz w:val="28"/>
          <w:szCs w:val="28"/>
        </w:rPr>
        <w:t>–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базовый норматив затрат на общехозяйственные нужды на оказание i-ой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дополнительных общеобразовательных общеразвивающих программ. </w:t>
      </w:r>
    </w:p>
    <w:p w14:paraId="1094EDFE" w14:textId="77777777" w:rsidR="006369EF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27617E5" w14:textId="3E1C3CBF" w:rsidR="00AB3308" w:rsidRPr="009E3488" w:rsidRDefault="00AB3308" w:rsidP="00345AC6">
      <w:pPr>
        <w:numPr>
          <w:ilvl w:val="0"/>
          <w:numId w:val="1"/>
        </w:numPr>
        <w:shd w:val="clear" w:color="auto" w:fill="FFFFFF"/>
        <w:tabs>
          <w:tab w:val="left" w:pos="8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Базовый норматив затрат, непосредственно связанных с оказанием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услуги по реализации </w:t>
      </w:r>
      <w:r w:rsidR="00C417AE" w:rsidRPr="009E3488">
        <w:rPr>
          <w:rFonts w:ascii="Times New Roman" w:hAnsi="Times New Roman" w:cs="Times New Roman"/>
          <w:spacing w:val="-1"/>
          <w:sz w:val="28"/>
          <w:szCs w:val="28"/>
        </w:rPr>
        <w:t>дополнительных общеобразовательных общеразвивающих программ,</w:t>
      </w:r>
      <w:r w:rsidR="007A046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рассчитывается по следующей формуле:</w:t>
      </w:r>
    </w:p>
    <w:p w14:paraId="7F9F5118" w14:textId="7EC5E69B" w:rsidR="00460837" w:rsidRPr="009E3488" w:rsidRDefault="006369EF" w:rsidP="00345AC6">
      <w:pPr>
        <w:shd w:val="clear" w:color="auto" w:fill="FFFFFF"/>
        <w:tabs>
          <w:tab w:val="left" w:pos="88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4A15A0" w:rsidRPr="009E348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46083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0837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43BE65AE" w14:textId="2EE542C0" w:rsidR="00874689" w:rsidRPr="009E3488" w:rsidRDefault="006369EF" w:rsidP="00345AC6">
      <w:pPr>
        <w:pStyle w:val="a9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</m:oMath>
      <w:r w:rsidR="00AB3308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206F28" w:rsidRPr="009E3488">
        <w:rPr>
          <w:rFonts w:ascii="Times New Roman" w:hAnsi="Times New Roman" w:cs="Times New Roman"/>
          <w:sz w:val="28"/>
          <w:szCs w:val="28"/>
        </w:rPr>
        <w:t xml:space="preserve">–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затраты на оплату труда педагогических работников, непосредственно связанных с оказанием i-ой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F5E94">
        <w:rPr>
          <w:rFonts w:ascii="Times New Roman" w:hAnsi="Times New Roman" w:cs="Times New Roman"/>
          <w:sz w:val="28"/>
          <w:szCs w:val="28"/>
        </w:rPr>
        <w:t xml:space="preserve">отчисление </w:t>
      </w:r>
      <w:r w:rsidR="00AB3308" w:rsidRPr="009E3488">
        <w:rPr>
          <w:rFonts w:ascii="Times New Roman" w:hAnsi="Times New Roman" w:cs="Times New Roman"/>
          <w:sz w:val="28"/>
          <w:szCs w:val="28"/>
        </w:rPr>
        <w:t>страховы</w:t>
      </w:r>
      <w:r w:rsidR="009F5E94">
        <w:rPr>
          <w:rFonts w:ascii="Times New Roman" w:hAnsi="Times New Roman" w:cs="Times New Roman"/>
          <w:sz w:val="28"/>
          <w:szCs w:val="28"/>
        </w:rPr>
        <w:t>х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9F5E94">
        <w:rPr>
          <w:rFonts w:ascii="Times New Roman" w:hAnsi="Times New Roman" w:cs="Times New Roman"/>
          <w:sz w:val="28"/>
          <w:szCs w:val="28"/>
        </w:rPr>
        <w:t>ов,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874689" w:rsidRPr="009E3488">
        <w:rPr>
          <w:rFonts w:ascii="Times New Roman" w:hAnsi="Times New Roman" w:cs="Times New Roman"/>
          <w:sz w:val="28"/>
          <w:szCs w:val="28"/>
        </w:rPr>
        <w:t>рассчитываемый по формуле:</w:t>
      </w:r>
    </w:p>
    <w:p w14:paraId="2A9F29FB" w14:textId="269DAA2B" w:rsidR="00AB3308" w:rsidRPr="009E3488" w:rsidRDefault="00AB3308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="001B6F32" w:rsidRPr="009E3488">
        <w:rPr>
          <w:rFonts w:ascii="Times New Roman" w:eastAsia="MS PGothic" w:hAnsi="Times New Roman" w:cs="Times New Roman"/>
          <w:sz w:val="28"/>
          <w:szCs w:val="28"/>
        </w:rPr>
        <w:t>, где</w:t>
      </w:r>
    </w:p>
    <w:p w14:paraId="5B450A43" w14:textId="0614EB4B" w:rsidR="001B6F32" w:rsidRPr="009E3488" w:rsidRDefault="009E57C6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9E3488">
        <w:rPr>
          <w:rStyle w:val="21"/>
          <w:rFonts w:eastAsia="Courier New"/>
          <w:sz w:val="28"/>
          <w:szCs w:val="28"/>
        </w:rPr>
        <w:t xml:space="preserve"> – </w:t>
      </w:r>
      <w:r w:rsidRPr="009E3488">
        <w:rPr>
          <w:rFonts w:ascii="Times New Roman" w:hAnsi="Times New Roman" w:cs="Times New Roman"/>
          <w:sz w:val="28"/>
          <w:szCs w:val="28"/>
        </w:rPr>
        <w:t xml:space="preserve">годовой фонд оплаты труда работников, непосредственно связанных с оказанием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</w:t>
      </w:r>
      <w:r w:rsidR="00690268">
        <w:rPr>
          <w:rFonts w:ascii="Times New Roman" w:hAnsi="Times New Roman" w:cs="Times New Roman"/>
          <w:sz w:val="28"/>
          <w:szCs w:val="28"/>
        </w:rPr>
        <w:t>,</w:t>
      </w:r>
      <w:r w:rsidRPr="009E348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14:paraId="68C50746" w14:textId="7985A863" w:rsidR="001B6F32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1B6F32" w:rsidRPr="009E3488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</w:t>
      </w:r>
      <w:r w:rsidR="009E57C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69B4F513" w14:textId="1799C9CA" w:rsidR="001B6F32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1B6F32" w:rsidRPr="009E3488">
        <w:rPr>
          <w:rFonts w:ascii="Times New Roman" w:hAnsi="Times New Roman" w:cs="Times New Roman"/>
          <w:sz w:val="28"/>
          <w:szCs w:val="28"/>
        </w:rPr>
        <w:t xml:space="preserve"> –</w:t>
      </w:r>
      <w:r w:rsidR="008214F9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EF52BD" w:rsidRPr="009E3488">
        <w:rPr>
          <w:rFonts w:ascii="Times New Roman" w:hAnsi="Times New Roman" w:cs="Times New Roman"/>
          <w:sz w:val="28"/>
          <w:szCs w:val="28"/>
        </w:rPr>
        <w:t>средняя норма</w:t>
      </w:r>
      <w:r w:rsidR="001B6F32" w:rsidRPr="009E3488">
        <w:rPr>
          <w:rFonts w:ascii="Times New Roman" w:hAnsi="Times New Roman" w:cs="Times New Roman"/>
          <w:sz w:val="28"/>
          <w:szCs w:val="28"/>
        </w:rPr>
        <w:t xml:space="preserve"> времени в год</w:t>
      </w:r>
      <w:r w:rsidR="00EF52BD" w:rsidRPr="009E3488">
        <w:rPr>
          <w:rFonts w:ascii="Times New Roman" w:hAnsi="Times New Roman" w:cs="Times New Roman"/>
          <w:sz w:val="28"/>
          <w:szCs w:val="28"/>
        </w:rPr>
        <w:t xml:space="preserve"> на одного ребенка</w:t>
      </w:r>
      <w:r w:rsidR="001B6F32" w:rsidRPr="009E3488">
        <w:rPr>
          <w:rFonts w:ascii="Times New Roman" w:hAnsi="Times New Roman" w:cs="Times New Roman"/>
          <w:sz w:val="28"/>
          <w:szCs w:val="28"/>
        </w:rPr>
        <w:t xml:space="preserve">, </w:t>
      </w:r>
      <w:r w:rsidR="009E57C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1FC49E06" w14:textId="5C84AA5A" w:rsidR="00F52CDA" w:rsidRPr="009E3488" w:rsidRDefault="006369EF" w:rsidP="00345AC6">
      <w:pPr>
        <w:pStyle w:val="a9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F52CDA" w:rsidRPr="009E348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затраты </w:t>
      </w:r>
      <w:r w:rsidR="00F52CDA" w:rsidRPr="009E3488">
        <w:rPr>
          <w:rFonts w:ascii="Times New Roman" w:hAnsi="Times New Roman" w:cs="Times New Roman"/>
          <w:sz w:val="28"/>
          <w:szCs w:val="28"/>
        </w:rPr>
        <w:t>на повышение квалификации и затраты на прохождение медицинских осмотров педагогическими работниками, непосредственно связанными с оказанием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общеобразовательных общеразвивающих программ, которые определяются по формуле:</w:t>
      </w:r>
    </w:p>
    <w:p w14:paraId="54EF0174" w14:textId="77777777" w:rsidR="00F52CDA" w:rsidRPr="009E3488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F52CDA" w:rsidRPr="009E3488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F52CDA" w:rsidRPr="009E3488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14:paraId="70179E99" w14:textId="71211396" w:rsidR="00F52CDA" w:rsidRPr="009E3488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52CDA" w:rsidRPr="009E3488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</w:t>
      </w:r>
      <w:r w:rsidR="00F52CDA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14:paraId="552C3D28" w14:textId="77777777" w:rsidR="00F52CDA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1D32FED3" w14:textId="10625D2F" w:rsidR="00F52CDA" w:rsidRPr="009E3488" w:rsidRDefault="006369EF" w:rsidP="00345AC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52CDA" w:rsidRPr="009E3488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</w:t>
      </w:r>
      <w:r w:rsidR="002E3BFF">
        <w:rPr>
          <w:rFonts w:ascii="Times New Roman" w:hAnsi="Times New Roman" w:cs="Times New Roman"/>
          <w:sz w:val="28"/>
          <w:szCs w:val="28"/>
        </w:rPr>
        <w:t>, з</w:t>
      </w:r>
      <w:r w:rsidR="002E3BFF" w:rsidRPr="00992081">
        <w:rPr>
          <w:rFonts w:ascii="Times New Roman" w:hAnsi="Times New Roman" w:cs="Times New Roman"/>
          <w:sz w:val="28"/>
          <w:szCs w:val="28"/>
        </w:rPr>
        <w:t>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4866AF95" w14:textId="6F5BDB89" w:rsidR="00F52CDA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52CDA" w:rsidRPr="009E3488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</w:t>
      </w:r>
      <w:r w:rsidR="00C4253B" w:rsidRPr="009E3488">
        <w:rPr>
          <w:rFonts w:ascii="Times New Roman" w:hAnsi="Times New Roman" w:cs="Times New Roman"/>
          <w:sz w:val="28"/>
          <w:szCs w:val="28"/>
        </w:rPr>
        <w:t xml:space="preserve">, </w:t>
      </w:r>
      <w:r w:rsidR="009F5E94" w:rsidRPr="009E3488">
        <w:rPr>
          <w:rFonts w:ascii="Times New Roman" w:hAnsi="Times New Roman" w:cs="Times New Roman"/>
          <w:sz w:val="28"/>
          <w:szCs w:val="28"/>
        </w:rPr>
        <w:t>проезд педагогических работников до места прохождения повышения квалификации и обратно</w:t>
      </w:r>
      <w:r w:rsidR="009F5E94">
        <w:rPr>
          <w:rFonts w:ascii="Times New Roman" w:hAnsi="Times New Roman" w:cs="Times New Roman"/>
          <w:sz w:val="28"/>
          <w:szCs w:val="28"/>
        </w:rPr>
        <w:t>,</w:t>
      </w:r>
      <w:r w:rsidR="009F5E94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C4253B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266AB32F" w14:textId="125E8515" w:rsidR="00F52CDA" w:rsidRPr="009E3488" w:rsidRDefault="00F52CDA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9E3488">
        <w:rPr>
          <w:rFonts w:ascii="Times New Roman" w:hAnsi="Times New Roman" w:cs="Times New Roman"/>
          <w:sz w:val="28"/>
          <w:szCs w:val="28"/>
        </w:rPr>
        <w:t xml:space="preserve">периодичность повышения квалификации, в соответствии с </w:t>
      </w:r>
      <w:r w:rsidR="00091697">
        <w:rPr>
          <w:rFonts w:ascii="Times New Roman" w:hAnsi="Times New Roman" w:cs="Times New Roman"/>
          <w:sz w:val="28"/>
          <w:szCs w:val="28"/>
        </w:rPr>
        <w:t>пунктом 2 части 5 статьи 47 Федерального закона 273-ФЗ</w:t>
      </w:r>
      <w:r w:rsidRPr="009E3488">
        <w:rPr>
          <w:rFonts w:ascii="Times New Roman" w:hAnsi="Times New Roman" w:cs="Times New Roman"/>
          <w:sz w:val="28"/>
          <w:szCs w:val="28"/>
        </w:rPr>
        <w:t>;</w:t>
      </w:r>
    </w:p>
    <w:p w14:paraId="6668D38F" w14:textId="77777777" w:rsidR="00F52CDA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-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F52CDA" w:rsidRPr="009E3488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F52CDA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14:paraId="5E890BB6" w14:textId="649BB6C7" w:rsidR="00F52CDA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4A931B22" w14:textId="20B83883" w:rsidR="00F52CDA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F52CDA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z w:val="28"/>
          <w:szCs w:val="28"/>
        </w:rPr>
        <w:t>.</w:t>
      </w:r>
    </w:p>
    <w:p w14:paraId="28AE6BF7" w14:textId="4BFEE4F4" w:rsidR="001B6F32" w:rsidRPr="009E3488" w:rsidRDefault="006369EF" w:rsidP="00345AC6">
      <w:pPr>
        <w:pStyle w:val="a9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</m:oMath>
      <w:r w:rsidR="00AB3308" w:rsidRPr="009E348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9E1F8F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услуги по реализации дополнительных общеобразовательных общеразвивающих программ</w:t>
      </w:r>
      <w:r w:rsidR="00DF623D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EF52BD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которые </w:t>
      </w:r>
      <w:r w:rsidR="00DF623D" w:rsidRPr="009E3488">
        <w:rPr>
          <w:rFonts w:ascii="Times New Roman" w:hAnsi="Times New Roman" w:cs="Times New Roman"/>
          <w:spacing w:val="-1"/>
          <w:sz w:val="28"/>
          <w:szCs w:val="28"/>
        </w:rPr>
        <w:t>определя</w:t>
      </w:r>
      <w:r w:rsidR="00EF52BD" w:rsidRPr="009E3488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DF623D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тся </w:t>
      </w:r>
      <w:r w:rsidR="001B6F32" w:rsidRPr="009E3488">
        <w:rPr>
          <w:rFonts w:ascii="Times New Roman" w:hAnsi="Times New Roman" w:cs="Times New Roman"/>
          <w:spacing w:val="-1"/>
          <w:sz w:val="28"/>
          <w:szCs w:val="28"/>
        </w:rPr>
        <w:t>по формуле:</w:t>
      </w:r>
    </w:p>
    <w:p w14:paraId="770F71D1" w14:textId="4D161C5D" w:rsidR="009E57C6" w:rsidRPr="009E3488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14:paraId="268E547D" w14:textId="1C4323ED" w:rsidR="009E57C6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9E57C6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9E57C6" w:rsidRPr="009E3488">
        <w:rPr>
          <w:rFonts w:ascii="Times New Roman" w:hAnsi="Times New Roman" w:cs="Times New Roman"/>
          <w:sz w:val="28"/>
          <w:szCs w:val="28"/>
        </w:rPr>
        <w:t xml:space="preserve">стоимость комплекта средств обучения по одной направленности в расчете </w:t>
      </w:r>
      <w:r w:rsidR="009E57C6" w:rsidRPr="006A1FC1">
        <w:rPr>
          <w:rFonts w:ascii="Times New Roman" w:hAnsi="Times New Roman" w:cs="Times New Roman"/>
          <w:sz w:val="28"/>
          <w:szCs w:val="28"/>
        </w:rPr>
        <w:t xml:space="preserve">на </w:t>
      </w:r>
      <w:r w:rsidR="006A1FC1" w:rsidRPr="006A1FC1">
        <w:rPr>
          <w:rFonts w:ascii="Times New Roman" w:hAnsi="Times New Roman" w:cs="Times New Roman"/>
          <w:sz w:val="28"/>
          <w:szCs w:val="28"/>
        </w:rPr>
        <w:t>1 класс-комплект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E57C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4C414C7D" w14:textId="40142C8F" w:rsidR="005B5664" w:rsidRPr="009E3488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2B6BBE2F" w14:textId="27022A1C" w:rsidR="009E57C6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9E57C6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0700C32C" w14:textId="60FE3E77" w:rsidR="00A90A86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A90A8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A90A8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3C75FD1E" w14:textId="47778407" w:rsidR="00C8174C" w:rsidRPr="009E3488" w:rsidRDefault="006369EF" w:rsidP="00345AC6">
      <w:pPr>
        <w:pStyle w:val="a9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C8174C" w:rsidRPr="009E348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затраты на приобретение методических пособий, используемых в процессе оказания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общеобразовательных общеразвивающих программ, которые определяются по формуле:</w:t>
      </w:r>
    </w:p>
    <w:p w14:paraId="75E0234F" w14:textId="700ACB6B" w:rsidR="005B5664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14:paraId="1B2B7C68" w14:textId="25B28A3E" w:rsidR="005B5664" w:rsidRPr="009E3488" w:rsidRDefault="006369EF" w:rsidP="00345AC6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УЧ</m:t>
            </m:r>
          </m:sup>
        </m:sSubSup>
      </m:oMath>
      <w:r w:rsidR="005B5664" w:rsidRPr="009E348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B5664" w:rsidRPr="009E3488">
        <w:rPr>
          <w:rFonts w:ascii="Times New Roman" w:eastAsiaTheme="minorHAnsi" w:hAnsi="Times New Roman" w:cs="Times New Roman"/>
          <w:sz w:val="28"/>
          <w:szCs w:val="28"/>
        </w:rPr>
        <w:softHyphen/>
        <w:t xml:space="preserve">– </w:t>
      </w:r>
      <w:r w:rsidR="005B5664" w:rsidRPr="009E3488">
        <w:rPr>
          <w:rFonts w:ascii="Times New Roman" w:hAnsi="Times New Roman" w:cs="Times New Roman"/>
          <w:sz w:val="28"/>
          <w:szCs w:val="28"/>
        </w:rPr>
        <w:t>стоимость одного экземпляра методических пособий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5B5664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3F3A2DBE" w14:textId="4D6E2026" w:rsidR="005B5664" w:rsidRPr="009E3488" w:rsidRDefault="006369EF" w:rsidP="00345AC6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УЧ</m:t>
            </m:r>
          </m:sup>
        </m:sSubSup>
      </m:oMath>
      <w:r w:rsidR="005B5664" w:rsidRPr="009E3488">
        <w:rPr>
          <w:rFonts w:ascii="Times New Roman" w:eastAsiaTheme="minorHAnsi" w:hAnsi="Times New Roman" w:cs="Times New Roman"/>
          <w:sz w:val="28"/>
          <w:szCs w:val="28"/>
        </w:rPr>
        <w:t xml:space="preserve"> – количество методических пособий на 1 обучающегося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5B5664" w:rsidRPr="009E3488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D6F9863" w14:textId="14D4316B" w:rsidR="005B5664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="00A90A86" w:rsidRPr="009E3488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61DF3A13" w14:textId="54E72FA7" w:rsidR="00AB3308" w:rsidRPr="009E3488" w:rsidRDefault="00281EF6" w:rsidP="00345AC6">
      <w:pPr>
        <w:numPr>
          <w:ilvl w:val="0"/>
          <w:numId w:val="1"/>
        </w:numPr>
        <w:shd w:val="clear" w:color="auto" w:fill="FFFFFF"/>
        <w:tabs>
          <w:tab w:val="left" w:pos="8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орматив затрат на общехозяйственные нужды на оказание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услуги по реализации дополнительных общеобразовательных общеразвивающих программ рассчитывается по следующей формуле:</w:t>
      </w:r>
    </w:p>
    <w:p w14:paraId="0A26A8EE" w14:textId="1C5DA1FE" w:rsidR="00281EF6" w:rsidRPr="009E3488" w:rsidRDefault="006369EF" w:rsidP="00345AC6">
      <w:pPr>
        <w:shd w:val="clear" w:color="auto" w:fill="FFFFFF"/>
        <w:tabs>
          <w:tab w:val="left" w:pos="88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281EF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281EF6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0AC18DDB" w14:textId="2B7880A8" w:rsidR="004565C2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4565C2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4565C2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DF0883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DF0883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DF0883" w:rsidRPr="009E3488">
        <w:rPr>
          <w:rFonts w:ascii="Times New Roman" w:hAnsi="Times New Roman" w:cs="Times New Roman"/>
          <w:sz w:val="28"/>
          <w:szCs w:val="28"/>
        </w:rPr>
        <w:t xml:space="preserve">оплате труда работников организации, которые не принимают непосредственного участия в оказании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DF0883" w:rsidRPr="009E3488">
        <w:rPr>
          <w:rFonts w:ascii="Times New Roman" w:hAnsi="Times New Roman" w:cs="Times New Roman"/>
          <w:sz w:val="28"/>
          <w:szCs w:val="28"/>
        </w:rPr>
        <w:t xml:space="preserve"> услуги. Значение устанавливается уполномоченным органом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AF15D27" w14:textId="345C940A" w:rsidR="004565C2" w:rsidRPr="00141BC0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</w:t>
      </w:r>
      <w:r w:rsidR="004565C2" w:rsidRPr="00141BC0">
        <w:rPr>
          <w:rFonts w:ascii="Times New Roman" w:hAnsi="Times New Roman" w:cs="Times New Roman"/>
          <w:spacing w:val="-1"/>
          <w:sz w:val="28"/>
          <w:szCs w:val="28"/>
        </w:rPr>
        <w:t>где</w:t>
      </w:r>
    </w:p>
    <w:p w14:paraId="082B5FB9" w14:textId="40D23790" w:rsidR="00281EF6" w:rsidRPr="00141BC0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4565C2" w:rsidRPr="00141BC0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141B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81EF6" w:rsidRPr="00141BC0">
        <w:rPr>
          <w:rFonts w:ascii="Times New Roman" w:hAnsi="Times New Roman" w:cs="Times New Roman"/>
          <w:sz w:val="28"/>
          <w:szCs w:val="28"/>
        </w:rPr>
        <w:t xml:space="preserve"> </w:t>
      </w:r>
      <w:r w:rsidR="00DF0883" w:rsidRPr="00141BC0">
        <w:rPr>
          <w:rFonts w:ascii="Times New Roman" w:hAnsi="Times New Roman" w:cs="Times New Roman"/>
          <w:sz w:val="28"/>
          <w:szCs w:val="28"/>
        </w:rPr>
        <w:t>Затраты на коммунальные услуги, включая затраты на горячее и холодное водоснабжение</w:t>
      </w:r>
      <w:r w:rsidR="0011399F" w:rsidRPr="00141BC0">
        <w:rPr>
          <w:rFonts w:ascii="Times New Roman" w:hAnsi="Times New Roman" w:cs="Times New Roman"/>
          <w:sz w:val="28"/>
          <w:szCs w:val="28"/>
        </w:rPr>
        <w:t>,</w:t>
      </w:r>
      <w:r w:rsidR="00DF0883" w:rsidRPr="00141BC0">
        <w:rPr>
          <w:rFonts w:ascii="Times New Roman" w:hAnsi="Times New Roman" w:cs="Times New Roman"/>
          <w:sz w:val="28"/>
          <w:szCs w:val="28"/>
        </w:rPr>
        <w:t xml:space="preserve"> водоотведение и очистку сточных вод, электроснабжение, теплоснабжение</w:t>
      </w:r>
      <w:r w:rsidR="00281EF6" w:rsidRPr="00141BC0">
        <w:rPr>
          <w:rFonts w:ascii="Times New Roman" w:hAnsi="Times New Roman" w:cs="Times New Roman"/>
          <w:sz w:val="28"/>
          <w:szCs w:val="28"/>
        </w:rPr>
        <w:t>;</w:t>
      </w:r>
    </w:p>
    <w:p w14:paraId="0303E499" w14:textId="5D3FC139" w:rsidR="00281EF6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281EF6" w:rsidRPr="00141BC0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4565C2" w:rsidRPr="00141B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4565C2" w:rsidRPr="00141BC0">
        <w:rPr>
          <w:rFonts w:ascii="Times New Roman" w:hAnsi="Times New Roman" w:cs="Times New Roman"/>
          <w:sz w:val="28"/>
          <w:szCs w:val="28"/>
        </w:rPr>
        <w:t xml:space="preserve"> </w:t>
      </w:r>
      <w:r w:rsidR="00281EF6" w:rsidRPr="00141BC0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14:paraId="47657163" w14:textId="41881132" w:rsidR="00281EF6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281EF6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э/энергии), а также расчетной стоимости обслуживания </w:t>
      </w:r>
      <w:r w:rsidR="00281EF6" w:rsidRPr="009E3488">
        <w:rPr>
          <w:rFonts w:ascii="Times New Roman" w:hAnsi="Times New Roman" w:cs="Times New Roman"/>
          <w:sz w:val="28"/>
          <w:szCs w:val="28"/>
        </w:rPr>
        <w:lastRenderedPageBreak/>
        <w:t>медицинского оборудования,  расчетной стоимости обслуживания (ремонта) оргтехники в год;</w:t>
      </w:r>
    </w:p>
    <w:p w14:paraId="19BBB877" w14:textId="36F5399F" w:rsidR="00281EF6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281EF6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Интернет;</w:t>
      </w:r>
    </w:p>
    <w:p w14:paraId="51A05B03" w14:textId="5887A05C" w:rsidR="00281EF6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учебы;</w:t>
      </w:r>
    </w:p>
    <w:p w14:paraId="02D443F5" w14:textId="14F8568F" w:rsidR="00DF0883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</m:oMath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DF0883" w:rsidRPr="009E3488">
        <w:rPr>
          <w:rFonts w:ascii="Times New Roman" w:hAnsi="Times New Roman" w:cs="Times New Roman"/>
          <w:sz w:val="28"/>
          <w:szCs w:val="28"/>
        </w:rPr>
        <w:t>среднее число учащихся в образовательной организации, оказывающей услуги по реализации дополнительных общеразвивающих программ;</w:t>
      </w:r>
    </w:p>
    <w:p w14:paraId="243FC5D4" w14:textId="387D2A79" w:rsidR="00DF0883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DF0883" w:rsidRPr="009E3488">
        <w:rPr>
          <w:rFonts w:ascii="Times New Roman" w:hAnsi="Times New Roman" w:cs="Times New Roman"/>
          <w:sz w:val="28"/>
          <w:szCs w:val="28"/>
        </w:rPr>
        <w:t>общий фонд учебного времени в год на организацию;</w:t>
      </w:r>
    </w:p>
    <w:p w14:paraId="0FD05B42" w14:textId="1B5A797E" w:rsidR="00281EF6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4565C2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услуги (</w:t>
      </w:r>
      <w:r w:rsidR="008F1E33" w:rsidRPr="009E3488">
        <w:rPr>
          <w:rFonts w:ascii="Times New Roman" w:hAnsi="Times New Roman" w:cs="Times New Roman"/>
          <w:sz w:val="28"/>
          <w:szCs w:val="28"/>
        </w:rPr>
        <w:t>административно-управленческого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и вспомогательного персонала), включая страховые взносы, рассчитываемые по формуле:</w:t>
      </w:r>
    </w:p>
    <w:p w14:paraId="4749AC4C" w14:textId="4DD3DFC8" w:rsidR="00281EF6" w:rsidRPr="009E3488" w:rsidRDefault="006369EF" w:rsidP="0034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565C2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14:paraId="5211A653" w14:textId="23F164A3" w:rsidR="00281EF6" w:rsidRPr="005248B8" w:rsidRDefault="006369EF" w:rsidP="00345AC6">
      <w:pPr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281EF6" w:rsidRPr="009E3488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</w:t>
      </w:r>
      <w:r w:rsidR="0053783B" w:rsidRPr="006A1FC1">
        <w:rPr>
          <w:rFonts w:ascii="Times New Roman" w:hAnsi="Times New Roman" w:cs="Times New Roman"/>
          <w:sz w:val="28"/>
          <w:szCs w:val="28"/>
        </w:rPr>
        <w:t>административно-управленческого</w:t>
      </w:r>
      <w:r w:rsidR="006A1FC1" w:rsidRPr="006A1FC1">
        <w:rPr>
          <w:rFonts w:ascii="Times New Roman" w:hAnsi="Times New Roman" w:cs="Times New Roman"/>
          <w:sz w:val="28"/>
          <w:szCs w:val="28"/>
        </w:rPr>
        <w:t xml:space="preserve"> и вспомогательного персонала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к общей численности педагогических работников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281EF6" w:rsidRPr="009E3488">
        <w:rPr>
          <w:rFonts w:ascii="Times New Roman" w:hAnsi="Times New Roman" w:cs="Times New Roman"/>
          <w:sz w:val="28"/>
          <w:szCs w:val="28"/>
        </w:rPr>
        <w:t>.</w:t>
      </w:r>
    </w:p>
    <w:sectPr w:rsidR="00281EF6" w:rsidRPr="005248B8" w:rsidSect="006369EF">
      <w:type w:val="continuous"/>
      <w:pgSz w:w="11900" w:h="16800"/>
      <w:pgMar w:top="1134" w:right="567" w:bottom="1134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4A"/>
    <w:rsid w:val="0000651B"/>
    <w:rsid w:val="00007183"/>
    <w:rsid w:val="00033F56"/>
    <w:rsid w:val="00045F5D"/>
    <w:rsid w:val="000879DD"/>
    <w:rsid w:val="00091697"/>
    <w:rsid w:val="000A27CD"/>
    <w:rsid w:val="000A6763"/>
    <w:rsid w:val="000A77DA"/>
    <w:rsid w:val="000B1CF9"/>
    <w:rsid w:val="000D255A"/>
    <w:rsid w:val="000D3914"/>
    <w:rsid w:val="000D4FDC"/>
    <w:rsid w:val="0011399F"/>
    <w:rsid w:val="00133450"/>
    <w:rsid w:val="00134C5B"/>
    <w:rsid w:val="00141BC0"/>
    <w:rsid w:val="00173378"/>
    <w:rsid w:val="00186B27"/>
    <w:rsid w:val="001B6F32"/>
    <w:rsid w:val="001C79E5"/>
    <w:rsid w:val="001D1BB5"/>
    <w:rsid w:val="00206F28"/>
    <w:rsid w:val="00240D20"/>
    <w:rsid w:val="00243360"/>
    <w:rsid w:val="00281EF6"/>
    <w:rsid w:val="002B1472"/>
    <w:rsid w:val="002D5A4A"/>
    <w:rsid w:val="002E3BFF"/>
    <w:rsid w:val="002F69A4"/>
    <w:rsid w:val="00303600"/>
    <w:rsid w:val="0031255C"/>
    <w:rsid w:val="003128E2"/>
    <w:rsid w:val="003152F7"/>
    <w:rsid w:val="00327F49"/>
    <w:rsid w:val="00333AAF"/>
    <w:rsid w:val="00345AC6"/>
    <w:rsid w:val="00347642"/>
    <w:rsid w:val="003603D4"/>
    <w:rsid w:val="00361510"/>
    <w:rsid w:val="003736B6"/>
    <w:rsid w:val="00376155"/>
    <w:rsid w:val="00380321"/>
    <w:rsid w:val="00393586"/>
    <w:rsid w:val="0039490E"/>
    <w:rsid w:val="003A24C6"/>
    <w:rsid w:val="003B3CF2"/>
    <w:rsid w:val="003F14D8"/>
    <w:rsid w:val="003F4D10"/>
    <w:rsid w:val="0040635B"/>
    <w:rsid w:val="00427EC2"/>
    <w:rsid w:val="004356C5"/>
    <w:rsid w:val="0044403A"/>
    <w:rsid w:val="004565C2"/>
    <w:rsid w:val="00460837"/>
    <w:rsid w:val="004A15A0"/>
    <w:rsid w:val="004C3AEC"/>
    <w:rsid w:val="004C442F"/>
    <w:rsid w:val="004D0153"/>
    <w:rsid w:val="004D1B7B"/>
    <w:rsid w:val="005248B8"/>
    <w:rsid w:val="0053783B"/>
    <w:rsid w:val="005417E3"/>
    <w:rsid w:val="00550830"/>
    <w:rsid w:val="0058240E"/>
    <w:rsid w:val="005A2392"/>
    <w:rsid w:val="005B5664"/>
    <w:rsid w:val="005D57C2"/>
    <w:rsid w:val="005F4490"/>
    <w:rsid w:val="00605D3F"/>
    <w:rsid w:val="006128E4"/>
    <w:rsid w:val="006369EF"/>
    <w:rsid w:val="00637450"/>
    <w:rsid w:val="00644E88"/>
    <w:rsid w:val="00690268"/>
    <w:rsid w:val="00696351"/>
    <w:rsid w:val="006A1FC1"/>
    <w:rsid w:val="006A7EA8"/>
    <w:rsid w:val="006E344E"/>
    <w:rsid w:val="0070729A"/>
    <w:rsid w:val="00715F24"/>
    <w:rsid w:val="0072315D"/>
    <w:rsid w:val="0073589C"/>
    <w:rsid w:val="00744491"/>
    <w:rsid w:val="00744986"/>
    <w:rsid w:val="00747576"/>
    <w:rsid w:val="00751E8E"/>
    <w:rsid w:val="00770387"/>
    <w:rsid w:val="007A0466"/>
    <w:rsid w:val="007A69A7"/>
    <w:rsid w:val="007C77CE"/>
    <w:rsid w:val="007D457B"/>
    <w:rsid w:val="007F581F"/>
    <w:rsid w:val="00811604"/>
    <w:rsid w:val="008214F9"/>
    <w:rsid w:val="00824676"/>
    <w:rsid w:val="00842E43"/>
    <w:rsid w:val="00855D34"/>
    <w:rsid w:val="00855F09"/>
    <w:rsid w:val="008575E4"/>
    <w:rsid w:val="00857D2A"/>
    <w:rsid w:val="0086172B"/>
    <w:rsid w:val="008717B7"/>
    <w:rsid w:val="008728D5"/>
    <w:rsid w:val="00874689"/>
    <w:rsid w:val="00876702"/>
    <w:rsid w:val="008814B8"/>
    <w:rsid w:val="00884F99"/>
    <w:rsid w:val="008A77C7"/>
    <w:rsid w:val="008B7F15"/>
    <w:rsid w:val="008D1002"/>
    <w:rsid w:val="008D73DB"/>
    <w:rsid w:val="008F1E33"/>
    <w:rsid w:val="0091112C"/>
    <w:rsid w:val="00921144"/>
    <w:rsid w:val="0093073B"/>
    <w:rsid w:val="009427DC"/>
    <w:rsid w:val="00943732"/>
    <w:rsid w:val="009517EA"/>
    <w:rsid w:val="00963121"/>
    <w:rsid w:val="0096678F"/>
    <w:rsid w:val="009A0B51"/>
    <w:rsid w:val="009A7897"/>
    <w:rsid w:val="009E1F8F"/>
    <w:rsid w:val="009E3488"/>
    <w:rsid w:val="009E489B"/>
    <w:rsid w:val="009E57C6"/>
    <w:rsid w:val="009F5E94"/>
    <w:rsid w:val="00A45401"/>
    <w:rsid w:val="00A56162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B0285A"/>
    <w:rsid w:val="00B041A6"/>
    <w:rsid w:val="00B35F81"/>
    <w:rsid w:val="00B42534"/>
    <w:rsid w:val="00B45A6E"/>
    <w:rsid w:val="00B52FFD"/>
    <w:rsid w:val="00B762ED"/>
    <w:rsid w:val="00B826DC"/>
    <w:rsid w:val="00BB2CDA"/>
    <w:rsid w:val="00BB699B"/>
    <w:rsid w:val="00BD143A"/>
    <w:rsid w:val="00BD5A1D"/>
    <w:rsid w:val="00BE7BB3"/>
    <w:rsid w:val="00BF48BC"/>
    <w:rsid w:val="00BF6654"/>
    <w:rsid w:val="00C35AD0"/>
    <w:rsid w:val="00C417AE"/>
    <w:rsid w:val="00C4253B"/>
    <w:rsid w:val="00C579D8"/>
    <w:rsid w:val="00C61B44"/>
    <w:rsid w:val="00C716E1"/>
    <w:rsid w:val="00C8174C"/>
    <w:rsid w:val="00CA3A66"/>
    <w:rsid w:val="00CC0D6A"/>
    <w:rsid w:val="00CD49E7"/>
    <w:rsid w:val="00D14E33"/>
    <w:rsid w:val="00D263C1"/>
    <w:rsid w:val="00D50EE7"/>
    <w:rsid w:val="00D52B30"/>
    <w:rsid w:val="00D56DD0"/>
    <w:rsid w:val="00D63D95"/>
    <w:rsid w:val="00D671F1"/>
    <w:rsid w:val="00DC7120"/>
    <w:rsid w:val="00DF0883"/>
    <w:rsid w:val="00DF623D"/>
    <w:rsid w:val="00DF7DA8"/>
    <w:rsid w:val="00E322D9"/>
    <w:rsid w:val="00E41BA4"/>
    <w:rsid w:val="00E427BD"/>
    <w:rsid w:val="00E53121"/>
    <w:rsid w:val="00E70F6D"/>
    <w:rsid w:val="00E9438E"/>
    <w:rsid w:val="00E97F03"/>
    <w:rsid w:val="00EB3CF2"/>
    <w:rsid w:val="00EC12BB"/>
    <w:rsid w:val="00EE35A4"/>
    <w:rsid w:val="00EF52BD"/>
    <w:rsid w:val="00F47673"/>
    <w:rsid w:val="00F52CDA"/>
    <w:rsid w:val="00F663AF"/>
    <w:rsid w:val="00F80E38"/>
    <w:rsid w:val="00F97288"/>
    <w:rsid w:val="00FA4C7F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C739BA3D-951E-4DFE-BAA8-8D84F565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9E5"/>
  </w:style>
  <w:style w:type="paragraph" w:styleId="1">
    <w:name w:val="heading 1"/>
    <w:basedOn w:val="a"/>
    <w:next w:val="a"/>
    <w:link w:val="10"/>
    <w:uiPriority w:val="9"/>
    <w:qFormat/>
    <w:rsid w:val="001C79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9E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</w:style>
  <w:style w:type="paragraph" w:customStyle="1" w:styleId="a6">
    <w:name w:val="Прижатый влево"/>
    <w:basedOn w:val="a"/>
    <w:next w:val="a"/>
    <w:uiPriority w:val="99"/>
    <w:rsid w:val="002D5A4A"/>
  </w:style>
  <w:style w:type="paragraph" w:customStyle="1" w:styleId="a7">
    <w:name w:val="Текст абзаца"/>
    <w:basedOn w:val="a"/>
    <w:link w:val="a8"/>
    <w:rsid w:val="00AB3308"/>
    <w:pPr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</w:style>
  <w:style w:type="character" w:customStyle="1" w:styleId="20">
    <w:name w:val="Заголовок 2 Знак"/>
    <w:basedOn w:val="a0"/>
    <w:link w:val="2"/>
    <w:uiPriority w:val="9"/>
    <w:semiHidden/>
    <w:rsid w:val="001C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9E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79E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79E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9E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C79E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C79E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1C79E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f4">
    <w:name w:val="caption"/>
    <w:basedOn w:val="a"/>
    <w:next w:val="a"/>
    <w:uiPriority w:val="35"/>
    <w:semiHidden/>
    <w:unhideWhenUsed/>
    <w:qFormat/>
    <w:rsid w:val="001C79E5"/>
    <w:pPr>
      <w:spacing w:line="240" w:lineRule="auto"/>
    </w:pPr>
    <w:rPr>
      <w:b/>
      <w:bCs/>
      <w:smallCaps/>
      <w:color w:val="44546A" w:themeColor="text2"/>
    </w:rPr>
  </w:style>
  <w:style w:type="paragraph" w:styleId="af5">
    <w:name w:val="Title"/>
    <w:basedOn w:val="a"/>
    <w:next w:val="a"/>
    <w:link w:val="af6"/>
    <w:uiPriority w:val="10"/>
    <w:qFormat/>
    <w:rsid w:val="001C79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f6">
    <w:name w:val="Заголовок Знак"/>
    <w:basedOn w:val="a0"/>
    <w:link w:val="af5"/>
    <w:uiPriority w:val="10"/>
    <w:rsid w:val="001C79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f7">
    <w:name w:val="Subtitle"/>
    <w:basedOn w:val="a"/>
    <w:next w:val="a"/>
    <w:link w:val="af8"/>
    <w:uiPriority w:val="11"/>
    <w:qFormat/>
    <w:rsid w:val="001C79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1C79E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9">
    <w:name w:val="Strong"/>
    <w:basedOn w:val="a0"/>
    <w:uiPriority w:val="22"/>
    <w:qFormat/>
    <w:rsid w:val="001C79E5"/>
    <w:rPr>
      <w:b/>
      <w:bCs/>
    </w:rPr>
  </w:style>
  <w:style w:type="character" w:styleId="afa">
    <w:name w:val="Emphasis"/>
    <w:basedOn w:val="a0"/>
    <w:uiPriority w:val="20"/>
    <w:qFormat/>
    <w:rsid w:val="001C79E5"/>
    <w:rPr>
      <w:i/>
      <w:iCs/>
    </w:rPr>
  </w:style>
  <w:style w:type="paragraph" w:styleId="afb">
    <w:name w:val="No Spacing"/>
    <w:uiPriority w:val="1"/>
    <w:qFormat/>
    <w:rsid w:val="001C79E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79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1C79E5"/>
    <w:rPr>
      <w:color w:val="44546A" w:themeColor="text2"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1C79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d">
    <w:name w:val="Выделенная цитата Знак"/>
    <w:basedOn w:val="a0"/>
    <w:link w:val="afc"/>
    <w:uiPriority w:val="30"/>
    <w:rsid w:val="001C79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e">
    <w:name w:val="Subtle Emphasis"/>
    <w:basedOn w:val="a0"/>
    <w:uiPriority w:val="19"/>
    <w:qFormat/>
    <w:rsid w:val="001C79E5"/>
    <w:rPr>
      <w:i/>
      <w:iCs/>
      <w:color w:val="595959" w:themeColor="text1" w:themeTint="A6"/>
    </w:rPr>
  </w:style>
  <w:style w:type="character" w:styleId="aff">
    <w:name w:val="Intense Emphasis"/>
    <w:basedOn w:val="a0"/>
    <w:uiPriority w:val="21"/>
    <w:qFormat/>
    <w:rsid w:val="001C79E5"/>
    <w:rPr>
      <w:b/>
      <w:bCs/>
      <w:i/>
      <w:iCs/>
    </w:rPr>
  </w:style>
  <w:style w:type="character" w:styleId="aff0">
    <w:name w:val="Subtle Reference"/>
    <w:basedOn w:val="a0"/>
    <w:uiPriority w:val="31"/>
    <w:qFormat/>
    <w:rsid w:val="001C79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f1">
    <w:name w:val="Intense Reference"/>
    <w:basedOn w:val="a0"/>
    <w:uiPriority w:val="32"/>
    <w:qFormat/>
    <w:rsid w:val="001C79E5"/>
    <w:rPr>
      <w:b/>
      <w:bCs/>
      <w:smallCaps/>
      <w:color w:val="44546A" w:themeColor="text2"/>
      <w:u w:val="single"/>
    </w:rPr>
  </w:style>
  <w:style w:type="character" w:styleId="aff2">
    <w:name w:val="Book Title"/>
    <w:basedOn w:val="a0"/>
    <w:uiPriority w:val="33"/>
    <w:qFormat/>
    <w:rsid w:val="001C79E5"/>
    <w:rPr>
      <w:b/>
      <w:bCs/>
      <w:smallCaps/>
      <w:spacing w:val="10"/>
    </w:rPr>
  </w:style>
  <w:style w:type="paragraph" w:styleId="aff3">
    <w:name w:val="TOC Heading"/>
    <w:basedOn w:val="1"/>
    <w:next w:val="a"/>
    <w:uiPriority w:val="39"/>
    <w:semiHidden/>
    <w:unhideWhenUsed/>
    <w:qFormat/>
    <w:rsid w:val="001C79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5EEB-4749-46B3-8BC1-20F48C1A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2334</Words>
  <Characters>13307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Управ делами</cp:lastModifiedBy>
  <cp:revision>2</cp:revision>
  <cp:lastPrinted>2023-08-25T07:54:00Z</cp:lastPrinted>
  <dcterms:created xsi:type="dcterms:W3CDTF">2023-08-25T07:54:00Z</dcterms:created>
  <dcterms:modified xsi:type="dcterms:W3CDTF">2023-08-25T07:54:00Z</dcterms:modified>
</cp:coreProperties>
</file>