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87" w:rsidRPr="00FC0887" w:rsidRDefault="00FC0887" w:rsidP="00FC088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C088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0</wp:posOffset>
            </wp:positionV>
            <wp:extent cx="577215" cy="685800"/>
            <wp:effectExtent l="0" t="0" r="0" b="0"/>
            <wp:wrapSquare wrapText="bothSides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0887" w:rsidRPr="00FC0887" w:rsidRDefault="00FC0887" w:rsidP="00FC0887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C0887" w:rsidRPr="00FC0887" w:rsidRDefault="00FC0887" w:rsidP="00FC08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C0887" w:rsidRPr="00FC0887" w:rsidRDefault="00FC0887" w:rsidP="00FC0887">
      <w:pPr>
        <w:jc w:val="right"/>
        <w:rPr>
          <w:rFonts w:eastAsia="Calibri"/>
          <w:b/>
          <w:sz w:val="28"/>
          <w:szCs w:val="28"/>
          <w:lang w:eastAsia="en-US"/>
        </w:rPr>
      </w:pPr>
      <w:r w:rsidRPr="00FC0887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проект</w:t>
      </w:r>
    </w:p>
    <w:p w:rsidR="00FC0887" w:rsidRPr="00FC0887" w:rsidRDefault="00FC0887" w:rsidP="00FC0887">
      <w:pPr>
        <w:shd w:val="clear" w:color="auto" w:fill="FFFFFF"/>
        <w:spacing w:before="96"/>
        <w:ind w:right="-16"/>
        <w:jc w:val="center"/>
        <w:rPr>
          <w:rFonts w:eastAsia="Calibri"/>
          <w:b/>
          <w:color w:val="000000"/>
          <w:w w:val="103"/>
          <w:sz w:val="28"/>
          <w:szCs w:val="28"/>
          <w:lang w:eastAsia="en-US"/>
        </w:rPr>
      </w:pPr>
      <w:proofErr w:type="gramStart"/>
      <w:r w:rsidRPr="00FC0887">
        <w:rPr>
          <w:rFonts w:eastAsia="Calibri"/>
          <w:b/>
          <w:color w:val="000000"/>
          <w:w w:val="103"/>
          <w:sz w:val="28"/>
          <w:szCs w:val="28"/>
          <w:lang w:eastAsia="en-US"/>
        </w:rPr>
        <w:t>Р</w:t>
      </w:r>
      <w:proofErr w:type="gramEnd"/>
      <w:r w:rsidRPr="00FC0887">
        <w:rPr>
          <w:rFonts w:eastAsia="Calibri"/>
          <w:b/>
          <w:color w:val="000000"/>
          <w:w w:val="103"/>
          <w:sz w:val="28"/>
          <w:szCs w:val="28"/>
          <w:lang w:eastAsia="en-US"/>
        </w:rPr>
        <w:t xml:space="preserve"> А С П О Р Я Ж Е Н И Е</w:t>
      </w:r>
    </w:p>
    <w:p w:rsidR="00FC0887" w:rsidRPr="00FC0887" w:rsidRDefault="00FC0887" w:rsidP="00FC0887">
      <w:pPr>
        <w:shd w:val="clear" w:color="auto" w:fill="FFFFFF"/>
        <w:spacing w:before="96"/>
        <w:ind w:right="-16"/>
        <w:jc w:val="center"/>
        <w:rPr>
          <w:rFonts w:eastAsia="Calibri"/>
          <w:color w:val="000000"/>
          <w:w w:val="103"/>
          <w:sz w:val="16"/>
          <w:szCs w:val="16"/>
          <w:lang w:eastAsia="en-US"/>
        </w:rPr>
      </w:pPr>
    </w:p>
    <w:p w:rsidR="00FC0887" w:rsidRPr="00FC0887" w:rsidRDefault="00FC0887" w:rsidP="00FC0887">
      <w:pPr>
        <w:widowControl w:val="0"/>
        <w:shd w:val="clear" w:color="auto" w:fill="FFFFFF"/>
        <w:autoSpaceDE w:val="0"/>
        <w:autoSpaceDN w:val="0"/>
        <w:adjustRightInd w:val="0"/>
        <w:ind w:right="-16"/>
        <w:jc w:val="center"/>
        <w:rPr>
          <w:b/>
          <w:color w:val="000000"/>
          <w:sz w:val="28"/>
          <w:szCs w:val="28"/>
        </w:rPr>
      </w:pPr>
      <w:r w:rsidRPr="00FC0887">
        <w:rPr>
          <w:b/>
          <w:color w:val="000000"/>
          <w:sz w:val="28"/>
          <w:szCs w:val="28"/>
        </w:rPr>
        <w:t xml:space="preserve">администрации Новоселицкого муниципального </w:t>
      </w:r>
      <w:r w:rsidR="00AB3BBF">
        <w:rPr>
          <w:b/>
          <w:color w:val="000000"/>
          <w:sz w:val="28"/>
          <w:szCs w:val="28"/>
        </w:rPr>
        <w:t>округ</w:t>
      </w:r>
      <w:r w:rsidRPr="00FC0887">
        <w:rPr>
          <w:b/>
          <w:color w:val="000000"/>
          <w:sz w:val="28"/>
          <w:szCs w:val="28"/>
        </w:rPr>
        <w:t>а</w:t>
      </w:r>
    </w:p>
    <w:p w:rsidR="00FC0887" w:rsidRPr="00FC0887" w:rsidRDefault="00FC0887" w:rsidP="00FC0887">
      <w:pPr>
        <w:widowControl w:val="0"/>
        <w:shd w:val="clear" w:color="auto" w:fill="FFFFFF"/>
        <w:autoSpaceDE w:val="0"/>
        <w:autoSpaceDN w:val="0"/>
        <w:adjustRightInd w:val="0"/>
        <w:ind w:right="-16"/>
        <w:jc w:val="center"/>
        <w:rPr>
          <w:b/>
          <w:color w:val="000000"/>
          <w:sz w:val="28"/>
          <w:szCs w:val="28"/>
        </w:rPr>
      </w:pPr>
      <w:r w:rsidRPr="00FC0887">
        <w:rPr>
          <w:b/>
          <w:color w:val="000000"/>
          <w:sz w:val="28"/>
          <w:szCs w:val="28"/>
        </w:rPr>
        <w:t>Ставропольского края</w:t>
      </w:r>
    </w:p>
    <w:p w:rsidR="00FC0887" w:rsidRPr="00FC0887" w:rsidRDefault="00FC0887" w:rsidP="00FC088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-16"/>
        <w:jc w:val="both"/>
        <w:rPr>
          <w:color w:val="000000"/>
          <w:sz w:val="28"/>
          <w:szCs w:val="28"/>
        </w:rPr>
      </w:pPr>
    </w:p>
    <w:p w:rsidR="00FC0887" w:rsidRPr="00FC0887" w:rsidRDefault="00FC0887" w:rsidP="00FC088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-16"/>
        <w:rPr>
          <w:color w:val="000000"/>
          <w:sz w:val="28"/>
          <w:szCs w:val="28"/>
        </w:rPr>
      </w:pPr>
      <w:r w:rsidRPr="00FC0887">
        <w:rPr>
          <w:color w:val="000000"/>
        </w:rPr>
        <w:t xml:space="preserve">                                                                с. Новоселицкое</w:t>
      </w:r>
      <w:r w:rsidR="001C0147">
        <w:rPr>
          <w:color w:val="000000"/>
        </w:rPr>
        <w:t xml:space="preserve"> </w:t>
      </w:r>
    </w:p>
    <w:p w:rsidR="00FC0887" w:rsidRPr="00FC0887" w:rsidRDefault="002F076E" w:rsidP="00FC0887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-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</w:t>
      </w:r>
      <w:r w:rsidR="001C0147">
        <w:rPr>
          <w:color w:val="000000"/>
          <w:sz w:val="28"/>
          <w:szCs w:val="28"/>
        </w:rPr>
        <w:t xml:space="preserve"> </w:t>
      </w:r>
      <w:r w:rsidR="00812411">
        <w:rPr>
          <w:color w:val="000000"/>
          <w:sz w:val="28"/>
          <w:szCs w:val="28"/>
        </w:rPr>
        <w:t>мая</w:t>
      </w:r>
      <w:r w:rsidR="001C0147">
        <w:rPr>
          <w:color w:val="000000"/>
          <w:sz w:val="28"/>
          <w:szCs w:val="28"/>
        </w:rPr>
        <w:t xml:space="preserve"> </w:t>
      </w:r>
      <w:r w:rsidR="00FC0887" w:rsidRPr="00FC0887">
        <w:rPr>
          <w:color w:val="000000"/>
          <w:sz w:val="28"/>
          <w:szCs w:val="28"/>
        </w:rPr>
        <w:t xml:space="preserve"> </w:t>
      </w:r>
      <w:r w:rsidR="008F1636">
        <w:rPr>
          <w:color w:val="000000"/>
          <w:sz w:val="28"/>
          <w:szCs w:val="28"/>
        </w:rPr>
        <w:t xml:space="preserve"> </w:t>
      </w:r>
      <w:r w:rsidR="00FC0887" w:rsidRPr="00FC0887">
        <w:rPr>
          <w:color w:val="000000"/>
          <w:sz w:val="28"/>
          <w:szCs w:val="28"/>
        </w:rPr>
        <w:t>20</w:t>
      </w:r>
      <w:r w:rsidR="008F1636">
        <w:rPr>
          <w:color w:val="000000"/>
          <w:sz w:val="28"/>
          <w:szCs w:val="28"/>
        </w:rPr>
        <w:t>2</w:t>
      </w:r>
      <w:r w:rsidR="001C0147">
        <w:rPr>
          <w:color w:val="000000"/>
          <w:sz w:val="28"/>
          <w:szCs w:val="28"/>
        </w:rPr>
        <w:t>3</w:t>
      </w:r>
      <w:r w:rsidR="00FC0887" w:rsidRPr="00FC0887">
        <w:rPr>
          <w:color w:val="000000"/>
          <w:sz w:val="28"/>
          <w:szCs w:val="28"/>
        </w:rPr>
        <w:t xml:space="preserve"> г                                       </w:t>
      </w:r>
      <w:r w:rsidR="008F1636">
        <w:rPr>
          <w:color w:val="000000"/>
          <w:sz w:val="28"/>
          <w:szCs w:val="28"/>
        </w:rPr>
        <w:t xml:space="preserve">                          </w:t>
      </w:r>
      <w:r w:rsidR="00FC0887" w:rsidRPr="00FC088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C0887" w:rsidRPr="00FC0887">
        <w:rPr>
          <w:color w:val="000000"/>
          <w:sz w:val="28"/>
          <w:szCs w:val="28"/>
        </w:rPr>
        <w:t xml:space="preserve">  </w:t>
      </w:r>
      <w:r w:rsidR="001C0147">
        <w:rPr>
          <w:color w:val="000000"/>
          <w:sz w:val="28"/>
          <w:szCs w:val="28"/>
        </w:rPr>
        <w:t xml:space="preserve">   </w:t>
      </w:r>
      <w:r w:rsidR="00FC0887" w:rsidRPr="00FC0887">
        <w:rPr>
          <w:color w:val="000000"/>
          <w:sz w:val="28"/>
          <w:szCs w:val="28"/>
        </w:rPr>
        <w:t>№_</w:t>
      </w:r>
      <w:r w:rsidR="001C0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236</w:t>
      </w:r>
      <w:r w:rsidR="001C0147">
        <w:rPr>
          <w:color w:val="000000"/>
          <w:sz w:val="28"/>
          <w:szCs w:val="28"/>
        </w:rPr>
        <w:t xml:space="preserve"> </w:t>
      </w:r>
      <w:r w:rsidR="002D7A4C">
        <w:rPr>
          <w:color w:val="000000"/>
          <w:sz w:val="28"/>
          <w:szCs w:val="28"/>
        </w:rPr>
        <w:t>-</w:t>
      </w:r>
      <w:proofErr w:type="gramStart"/>
      <w:r w:rsidR="002D7A4C">
        <w:rPr>
          <w:color w:val="000000"/>
          <w:sz w:val="28"/>
          <w:szCs w:val="28"/>
        </w:rPr>
        <w:t>р</w:t>
      </w:r>
      <w:proofErr w:type="gramEnd"/>
      <w:r w:rsidR="00FC0887" w:rsidRPr="00FC0887">
        <w:rPr>
          <w:color w:val="000000"/>
          <w:sz w:val="28"/>
          <w:szCs w:val="28"/>
        </w:rPr>
        <w:t>___</w:t>
      </w:r>
    </w:p>
    <w:p w:rsidR="00FC0887" w:rsidRPr="00FC0887" w:rsidRDefault="00FC0887" w:rsidP="00FC0887">
      <w:pPr>
        <w:jc w:val="center"/>
        <w:rPr>
          <w:rFonts w:eastAsia="Calibri"/>
          <w:sz w:val="16"/>
          <w:szCs w:val="16"/>
          <w:lang w:eastAsia="en-US"/>
        </w:rPr>
      </w:pPr>
    </w:p>
    <w:p w:rsidR="00FC0887" w:rsidRPr="00FC0887" w:rsidRDefault="00FC0887" w:rsidP="00FC088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FC0887" w:rsidRPr="00FC0887" w:rsidRDefault="00FC0887" w:rsidP="00FC088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C0887" w:rsidRPr="001C0147" w:rsidRDefault="00FC0887" w:rsidP="001B56E0">
      <w:pPr>
        <w:pStyle w:val="ConsPlusTitle"/>
        <w:spacing w:line="240" w:lineRule="exact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C01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 ходе </w:t>
      </w:r>
      <w:proofErr w:type="gramStart"/>
      <w:r w:rsidRPr="001C01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выполнения постановления администрации Новоселицкого муниц</w:t>
      </w:r>
      <w:r w:rsidRPr="001C01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="007269E3" w:rsidRPr="001C01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пального  округа </w:t>
      </w:r>
      <w:r w:rsidR="001B56E0" w:rsidRPr="001C01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Ставропольского края</w:t>
      </w:r>
      <w:proofErr w:type="gramEnd"/>
      <w:r w:rsidRPr="001C01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</w:t>
      </w:r>
      <w:r w:rsidR="007269E3" w:rsidRPr="001C014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7269E3" w:rsidRPr="001C0147">
        <w:rPr>
          <w:rFonts w:ascii="Times New Roman" w:hAnsi="Times New Roman" w:cs="Times New Roman"/>
          <w:sz w:val="28"/>
          <w:szCs w:val="28"/>
        </w:rPr>
        <w:t xml:space="preserve"> </w:t>
      </w:r>
      <w:r w:rsidR="001C0147" w:rsidRPr="001C0147">
        <w:rPr>
          <w:rFonts w:ascii="Times New Roman" w:hAnsi="Times New Roman" w:cs="Times New Roman"/>
          <w:b w:val="0"/>
          <w:sz w:val="28"/>
          <w:szCs w:val="28"/>
        </w:rPr>
        <w:t>26 апреля 2023</w:t>
      </w:r>
      <w:r w:rsidR="007269E3" w:rsidRPr="001C0147">
        <w:rPr>
          <w:rFonts w:ascii="Times New Roman" w:hAnsi="Times New Roman" w:cs="Times New Roman"/>
          <w:b w:val="0"/>
          <w:sz w:val="28"/>
          <w:szCs w:val="28"/>
        </w:rPr>
        <w:t xml:space="preserve"> г.№ </w:t>
      </w:r>
      <w:r w:rsidR="001C0147" w:rsidRPr="001C0147">
        <w:rPr>
          <w:rFonts w:ascii="Times New Roman" w:hAnsi="Times New Roman" w:cs="Times New Roman"/>
          <w:b w:val="0"/>
          <w:sz w:val="28"/>
          <w:szCs w:val="28"/>
        </w:rPr>
        <w:t>260</w:t>
      </w:r>
      <w:r w:rsidR="007269E3" w:rsidRPr="001C014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C0147" w:rsidRPr="001C014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финансовым управлением администрации Новоселицкого муниципального округа Ставропольского края мониторинга качества финансового менеджмента</w:t>
      </w:r>
      <w:r w:rsidR="007269E3" w:rsidRPr="001C014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C0887" w:rsidRPr="001C0147" w:rsidRDefault="00FC0887" w:rsidP="00FC0887">
      <w:pPr>
        <w:jc w:val="both"/>
        <w:rPr>
          <w:rFonts w:eastAsia="Calibri"/>
          <w:sz w:val="28"/>
          <w:szCs w:val="28"/>
          <w:lang w:eastAsia="en-US"/>
        </w:rPr>
      </w:pPr>
    </w:p>
    <w:p w:rsidR="00FC0887" w:rsidRDefault="00FC0887" w:rsidP="00FC0887">
      <w:pPr>
        <w:jc w:val="both"/>
        <w:rPr>
          <w:rFonts w:eastAsia="Calibri"/>
          <w:sz w:val="28"/>
          <w:szCs w:val="28"/>
          <w:lang w:eastAsia="en-US"/>
        </w:rPr>
      </w:pPr>
    </w:p>
    <w:p w:rsidR="007269E3" w:rsidRPr="00FC0887" w:rsidRDefault="007269E3" w:rsidP="00FC0887">
      <w:pPr>
        <w:jc w:val="both"/>
        <w:rPr>
          <w:rFonts w:eastAsia="Calibri"/>
          <w:sz w:val="28"/>
          <w:szCs w:val="28"/>
          <w:lang w:eastAsia="en-US"/>
        </w:rPr>
      </w:pPr>
    </w:p>
    <w:p w:rsidR="007269E3" w:rsidRPr="007269E3" w:rsidRDefault="007269E3" w:rsidP="007269E3">
      <w:pPr>
        <w:pStyle w:val="ConsPlusTitle"/>
        <w:spacing w:line="240" w:lineRule="exact"/>
        <w:ind w:firstLine="708"/>
        <w:jc w:val="both"/>
        <w:outlineLvl w:val="0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7269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</w:t>
      </w:r>
      <w:r w:rsidRPr="00D334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Прилагаемые</w:t>
      </w:r>
      <w:r w:rsidR="00FC0887" w:rsidRPr="00D334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</w:t>
      </w:r>
      <w:r w:rsidRPr="00D334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результаты</w:t>
      </w:r>
      <w:r w:rsidR="00CA3E6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, </w:t>
      </w:r>
      <w:r w:rsidRPr="00D3347F">
        <w:rPr>
          <w:rFonts w:ascii="Times New Roman" w:hAnsi="Times New Roman" w:cs="Times New Roman"/>
          <w:b w:val="0"/>
          <w:sz w:val="28"/>
          <w:szCs w:val="28"/>
        </w:rPr>
        <w:t xml:space="preserve"> мониторинга качества финансового м</w:t>
      </w:r>
      <w:r w:rsidRPr="00D3347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3347F">
        <w:rPr>
          <w:rFonts w:ascii="Times New Roman" w:hAnsi="Times New Roman" w:cs="Times New Roman"/>
          <w:b w:val="0"/>
          <w:sz w:val="28"/>
          <w:szCs w:val="28"/>
        </w:rPr>
        <w:t xml:space="preserve">неджмента, осуществляемого </w:t>
      </w:r>
      <w:r w:rsidR="001C0147">
        <w:rPr>
          <w:rFonts w:ascii="Times New Roman" w:hAnsi="Times New Roman" w:cs="Times New Roman"/>
          <w:b w:val="0"/>
          <w:sz w:val="28"/>
          <w:szCs w:val="28"/>
        </w:rPr>
        <w:t xml:space="preserve">финансовым </w:t>
      </w:r>
      <w:r w:rsidR="001C0147" w:rsidRPr="001C0147">
        <w:rPr>
          <w:rFonts w:ascii="Times New Roman" w:hAnsi="Times New Roman" w:cs="Times New Roman"/>
          <w:b w:val="0"/>
          <w:sz w:val="28"/>
          <w:szCs w:val="28"/>
        </w:rPr>
        <w:t>управлением</w:t>
      </w:r>
      <w:r w:rsidRPr="001C0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0147" w:rsidRPr="001C01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администрации</w:t>
      </w:r>
      <w:r w:rsidRPr="001C0147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1C014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C0147">
        <w:rPr>
          <w:rFonts w:ascii="Times New Roman" w:hAnsi="Times New Roman" w:cs="Times New Roman"/>
          <w:b w:val="0"/>
          <w:sz w:val="28"/>
          <w:szCs w:val="28"/>
        </w:rPr>
        <w:t>восе</w:t>
      </w:r>
      <w:r w:rsidR="00D3347F" w:rsidRPr="001C0147">
        <w:rPr>
          <w:rFonts w:ascii="Times New Roman" w:hAnsi="Times New Roman" w:cs="Times New Roman"/>
          <w:b w:val="0"/>
          <w:sz w:val="28"/>
          <w:szCs w:val="28"/>
        </w:rPr>
        <w:t xml:space="preserve">лицкого муниципального  </w:t>
      </w:r>
      <w:r w:rsidR="00634588" w:rsidRPr="001C0147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3347F" w:rsidRPr="001C0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29C" w:rsidRPr="001C0147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Pr="001C0147">
        <w:rPr>
          <w:rFonts w:ascii="Times New Roman" w:hAnsi="Times New Roman" w:cs="Times New Roman"/>
          <w:b w:val="0"/>
          <w:sz w:val="28"/>
          <w:szCs w:val="28"/>
        </w:rPr>
        <w:t xml:space="preserve"> за 202</w:t>
      </w:r>
      <w:r w:rsidR="001C0147" w:rsidRPr="001C0147">
        <w:rPr>
          <w:rFonts w:ascii="Times New Roman" w:hAnsi="Times New Roman" w:cs="Times New Roman"/>
          <w:b w:val="0"/>
          <w:sz w:val="28"/>
          <w:szCs w:val="28"/>
        </w:rPr>
        <w:t>2</w:t>
      </w:r>
      <w:r w:rsidR="00CA3E67" w:rsidRPr="001C01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0147">
        <w:rPr>
          <w:rFonts w:ascii="Times New Roman" w:hAnsi="Times New Roman" w:cs="Times New Roman"/>
          <w:b w:val="0"/>
          <w:sz w:val="28"/>
          <w:szCs w:val="28"/>
        </w:rPr>
        <w:t>год</w:t>
      </w:r>
      <w:r w:rsidRPr="00D334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3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347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принять к сведению</w:t>
      </w:r>
      <w:r w:rsidRPr="007269E3">
        <w:rPr>
          <w:rFonts w:eastAsia="Calibri"/>
          <w:b w:val="0"/>
          <w:sz w:val="28"/>
          <w:szCs w:val="28"/>
          <w:lang w:eastAsia="en-US"/>
        </w:rPr>
        <w:t>.</w:t>
      </w:r>
    </w:p>
    <w:p w:rsidR="00FC0887" w:rsidRPr="00FC0887" w:rsidRDefault="00FC0887" w:rsidP="00C47839">
      <w:pPr>
        <w:jc w:val="both"/>
        <w:rPr>
          <w:rFonts w:eastAsia="Calibri"/>
          <w:sz w:val="28"/>
          <w:szCs w:val="28"/>
          <w:lang w:eastAsia="en-US"/>
        </w:rPr>
      </w:pPr>
    </w:p>
    <w:p w:rsidR="00FC0887" w:rsidRDefault="00FC0887" w:rsidP="0001300F">
      <w:pPr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0887">
        <w:rPr>
          <w:rFonts w:eastAsia="Calibri"/>
          <w:sz w:val="28"/>
          <w:szCs w:val="28"/>
          <w:lang w:eastAsia="en-US"/>
        </w:rPr>
        <w:t>2. Финансовому управлению разместить</w:t>
      </w:r>
      <w:r w:rsidR="007269E3">
        <w:rPr>
          <w:rFonts w:eastAsia="Calibri"/>
          <w:sz w:val="28"/>
          <w:szCs w:val="28"/>
          <w:lang w:eastAsia="en-US"/>
        </w:rPr>
        <w:t xml:space="preserve"> результаты мониторинга кач</w:t>
      </w:r>
      <w:r w:rsidR="007269E3">
        <w:rPr>
          <w:rFonts w:eastAsia="Calibri"/>
          <w:sz w:val="28"/>
          <w:szCs w:val="28"/>
          <w:lang w:eastAsia="en-US"/>
        </w:rPr>
        <w:t>е</w:t>
      </w:r>
      <w:r w:rsidR="007269E3">
        <w:rPr>
          <w:rFonts w:eastAsia="Calibri"/>
          <w:sz w:val="28"/>
          <w:szCs w:val="28"/>
          <w:lang w:eastAsia="en-US"/>
        </w:rPr>
        <w:t xml:space="preserve">ства финансового менеджмента </w:t>
      </w:r>
      <w:r w:rsidR="007269E3" w:rsidRPr="007269E3">
        <w:rPr>
          <w:sz w:val="28"/>
          <w:szCs w:val="28"/>
        </w:rPr>
        <w:t xml:space="preserve">осуществляемого </w:t>
      </w:r>
      <w:r w:rsidR="001C0147">
        <w:rPr>
          <w:sz w:val="28"/>
          <w:szCs w:val="28"/>
        </w:rPr>
        <w:t>финансовым управлением</w:t>
      </w:r>
      <w:r w:rsidR="007269E3" w:rsidRPr="007269E3">
        <w:rPr>
          <w:sz w:val="28"/>
          <w:szCs w:val="28"/>
        </w:rPr>
        <w:t xml:space="preserve">  </w:t>
      </w:r>
      <w:r w:rsidR="001C0147" w:rsidRPr="001C0147">
        <w:rPr>
          <w:rFonts w:eastAsiaTheme="minorHAnsi"/>
          <w:sz w:val="28"/>
          <w:szCs w:val="28"/>
          <w:lang w:eastAsia="en-US"/>
        </w:rPr>
        <w:t>администрации</w:t>
      </w:r>
      <w:r w:rsidR="001C0147" w:rsidRPr="001C0147">
        <w:rPr>
          <w:sz w:val="28"/>
          <w:szCs w:val="28"/>
        </w:rPr>
        <w:t xml:space="preserve"> </w:t>
      </w:r>
      <w:r w:rsidR="007269E3" w:rsidRPr="007269E3">
        <w:rPr>
          <w:sz w:val="28"/>
          <w:szCs w:val="28"/>
        </w:rPr>
        <w:t>Ново</w:t>
      </w:r>
      <w:r w:rsidR="00B365FE">
        <w:rPr>
          <w:sz w:val="28"/>
          <w:szCs w:val="28"/>
        </w:rPr>
        <w:t xml:space="preserve">селицкого муниципального   </w:t>
      </w:r>
      <w:r w:rsidR="00634588">
        <w:rPr>
          <w:sz w:val="28"/>
          <w:szCs w:val="28"/>
        </w:rPr>
        <w:t>округа</w:t>
      </w:r>
      <w:r w:rsidR="007269E3" w:rsidRPr="007269E3">
        <w:rPr>
          <w:sz w:val="28"/>
          <w:szCs w:val="28"/>
        </w:rPr>
        <w:t xml:space="preserve"> </w:t>
      </w:r>
      <w:r w:rsidR="00A8429C" w:rsidRPr="00A8429C">
        <w:rPr>
          <w:sz w:val="28"/>
          <w:szCs w:val="28"/>
        </w:rPr>
        <w:t xml:space="preserve">Ставропольского края </w:t>
      </w:r>
      <w:r w:rsidR="007269E3" w:rsidRPr="00A8429C">
        <w:rPr>
          <w:sz w:val="28"/>
          <w:szCs w:val="28"/>
        </w:rPr>
        <w:t>за 202</w:t>
      </w:r>
      <w:r w:rsidR="001C0147">
        <w:rPr>
          <w:sz w:val="28"/>
          <w:szCs w:val="28"/>
        </w:rPr>
        <w:t>2</w:t>
      </w:r>
      <w:r w:rsidR="00C020CC" w:rsidRPr="00A8429C">
        <w:rPr>
          <w:sz w:val="28"/>
          <w:szCs w:val="28"/>
        </w:rPr>
        <w:t xml:space="preserve"> </w:t>
      </w:r>
      <w:r w:rsidR="007269E3" w:rsidRPr="00A8429C">
        <w:rPr>
          <w:sz w:val="28"/>
          <w:szCs w:val="28"/>
        </w:rPr>
        <w:t>год</w:t>
      </w:r>
      <w:r w:rsidR="007269E3" w:rsidRPr="00A8429C">
        <w:rPr>
          <w:rFonts w:eastAsia="Calibri"/>
          <w:sz w:val="28"/>
          <w:szCs w:val="28"/>
          <w:lang w:eastAsia="en-US"/>
        </w:rPr>
        <w:t>,</w:t>
      </w:r>
      <w:r w:rsidR="001B56E0" w:rsidRPr="00A8429C">
        <w:rPr>
          <w:rFonts w:eastAsia="Calibri"/>
          <w:sz w:val="28"/>
          <w:szCs w:val="28"/>
          <w:lang w:eastAsia="en-US"/>
        </w:rPr>
        <w:t xml:space="preserve"> </w:t>
      </w:r>
      <w:r w:rsidRPr="00A8429C">
        <w:rPr>
          <w:rFonts w:eastAsia="Calibri"/>
          <w:sz w:val="28"/>
          <w:szCs w:val="28"/>
          <w:lang w:eastAsia="en-US"/>
        </w:rPr>
        <w:t>на официальном сайте администрации Н</w:t>
      </w:r>
      <w:r w:rsidRPr="00FC0887">
        <w:rPr>
          <w:rFonts w:eastAsia="Calibri"/>
          <w:sz w:val="28"/>
          <w:szCs w:val="28"/>
          <w:lang w:eastAsia="en-US"/>
        </w:rPr>
        <w:t>овоселицкого м</w:t>
      </w:r>
      <w:r w:rsidRPr="00FC0887">
        <w:rPr>
          <w:rFonts w:eastAsia="Calibri"/>
          <w:sz w:val="28"/>
          <w:szCs w:val="28"/>
          <w:lang w:eastAsia="en-US"/>
        </w:rPr>
        <w:t>у</w:t>
      </w:r>
      <w:r w:rsidRPr="00FC0887">
        <w:rPr>
          <w:rFonts w:eastAsia="Calibri"/>
          <w:sz w:val="28"/>
          <w:szCs w:val="28"/>
          <w:lang w:eastAsia="en-US"/>
        </w:rPr>
        <w:t xml:space="preserve">ниципального </w:t>
      </w:r>
      <w:r w:rsidR="00AB3BBF">
        <w:rPr>
          <w:rFonts w:eastAsia="Calibri"/>
          <w:sz w:val="28"/>
          <w:szCs w:val="28"/>
          <w:lang w:eastAsia="en-US"/>
        </w:rPr>
        <w:t>округ</w:t>
      </w:r>
      <w:r w:rsidR="00D3347F">
        <w:rPr>
          <w:rFonts w:eastAsia="Calibri"/>
          <w:sz w:val="28"/>
          <w:szCs w:val="28"/>
          <w:lang w:eastAsia="en-US"/>
        </w:rPr>
        <w:t>а Ставропольского края.</w:t>
      </w:r>
    </w:p>
    <w:p w:rsidR="004C683F" w:rsidRDefault="004C683F" w:rsidP="00FC088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C683F" w:rsidRPr="004C683F" w:rsidRDefault="004C683F" w:rsidP="0001300F">
      <w:pPr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683F">
        <w:rPr>
          <w:rFonts w:eastAsia="Calibri"/>
          <w:sz w:val="28"/>
          <w:szCs w:val="28"/>
          <w:lang w:eastAsia="en-US"/>
        </w:rPr>
        <w:t>3. Г</w:t>
      </w:r>
      <w:r w:rsidR="004963DE">
        <w:rPr>
          <w:sz w:val="28"/>
          <w:szCs w:val="28"/>
        </w:rPr>
        <w:t>лавным</w:t>
      </w:r>
      <w:r w:rsidRPr="004C683F">
        <w:rPr>
          <w:sz w:val="28"/>
          <w:szCs w:val="28"/>
        </w:rPr>
        <w:t xml:space="preserve"> распорядит</w:t>
      </w:r>
      <w:r w:rsidR="004963DE">
        <w:rPr>
          <w:sz w:val="28"/>
          <w:szCs w:val="28"/>
        </w:rPr>
        <w:t>елям</w:t>
      </w:r>
      <w:r w:rsidRPr="004C683F">
        <w:rPr>
          <w:sz w:val="28"/>
          <w:szCs w:val="28"/>
        </w:rPr>
        <w:t xml:space="preserve"> бюджетных средств по результатам пров</w:t>
      </w:r>
      <w:r w:rsidRPr="004C683F">
        <w:rPr>
          <w:sz w:val="28"/>
          <w:szCs w:val="28"/>
        </w:rPr>
        <w:t>е</w:t>
      </w:r>
      <w:r w:rsidRPr="004C683F">
        <w:rPr>
          <w:sz w:val="28"/>
          <w:szCs w:val="28"/>
        </w:rPr>
        <w:t xml:space="preserve">дения ежегодного мониторинга качества финансового менеджмента в срок до 01 сентября </w:t>
      </w:r>
      <w:r>
        <w:rPr>
          <w:sz w:val="28"/>
          <w:szCs w:val="28"/>
        </w:rPr>
        <w:t>2023</w:t>
      </w:r>
      <w:r w:rsidRPr="004C683F">
        <w:rPr>
          <w:sz w:val="28"/>
          <w:szCs w:val="28"/>
        </w:rPr>
        <w:t xml:space="preserve"> года направ</w:t>
      </w:r>
      <w:r w:rsidR="004963DE">
        <w:rPr>
          <w:sz w:val="28"/>
          <w:szCs w:val="28"/>
        </w:rPr>
        <w:t>ить</w:t>
      </w:r>
      <w:r w:rsidRPr="004C683F">
        <w:rPr>
          <w:sz w:val="28"/>
          <w:szCs w:val="28"/>
        </w:rPr>
        <w:t xml:space="preserve"> в финансовое управление </w:t>
      </w:r>
      <w:hyperlink w:anchor="P1209">
        <w:r w:rsidRPr="004C683F">
          <w:rPr>
            <w:sz w:val="28"/>
            <w:szCs w:val="28"/>
          </w:rPr>
          <w:t>сведения</w:t>
        </w:r>
      </w:hyperlink>
      <w:r w:rsidRPr="004C683F">
        <w:rPr>
          <w:sz w:val="28"/>
          <w:szCs w:val="28"/>
        </w:rPr>
        <w:t xml:space="preserve"> о ходе реализации мер, направленных на повышение качества финансового м</w:t>
      </w:r>
      <w:r w:rsidRPr="004C683F">
        <w:rPr>
          <w:sz w:val="28"/>
          <w:szCs w:val="28"/>
        </w:rPr>
        <w:t>е</w:t>
      </w:r>
      <w:r w:rsidRPr="004C683F">
        <w:rPr>
          <w:sz w:val="28"/>
          <w:szCs w:val="28"/>
        </w:rPr>
        <w:t>неджмента.</w:t>
      </w:r>
    </w:p>
    <w:p w:rsidR="00FC0887" w:rsidRPr="00FC0887" w:rsidRDefault="00FC0887" w:rsidP="00FC0887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FC0887" w:rsidRPr="00FC0887" w:rsidRDefault="0001300F" w:rsidP="00FC08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0887" w:rsidRPr="00FC0887">
        <w:rPr>
          <w:sz w:val="28"/>
          <w:szCs w:val="28"/>
        </w:rPr>
        <w:t xml:space="preserve">. </w:t>
      </w:r>
      <w:proofErr w:type="gramStart"/>
      <w:r w:rsidR="00FC0887" w:rsidRPr="00FC0887">
        <w:rPr>
          <w:sz w:val="28"/>
          <w:szCs w:val="28"/>
        </w:rPr>
        <w:t>Контроль за</w:t>
      </w:r>
      <w:proofErr w:type="gramEnd"/>
      <w:r w:rsidR="00FC0887" w:rsidRPr="00FC0887">
        <w:rPr>
          <w:sz w:val="28"/>
          <w:szCs w:val="28"/>
        </w:rPr>
        <w:t xml:space="preserve"> выполнением настоящего распоряжения оставляю за с</w:t>
      </w:r>
      <w:r w:rsidR="00FC0887" w:rsidRPr="00FC0887">
        <w:rPr>
          <w:sz w:val="28"/>
          <w:szCs w:val="28"/>
        </w:rPr>
        <w:t>о</w:t>
      </w:r>
      <w:r w:rsidR="00FC0887" w:rsidRPr="00FC0887">
        <w:rPr>
          <w:sz w:val="28"/>
          <w:szCs w:val="28"/>
        </w:rPr>
        <w:t>бой.</w:t>
      </w:r>
    </w:p>
    <w:p w:rsidR="00FC0887" w:rsidRPr="00FC0887" w:rsidRDefault="00FC0887" w:rsidP="00C47839">
      <w:pPr>
        <w:jc w:val="both"/>
        <w:rPr>
          <w:rFonts w:eastAsia="Calibri"/>
          <w:sz w:val="28"/>
          <w:szCs w:val="28"/>
          <w:lang w:eastAsia="en-US"/>
        </w:rPr>
      </w:pPr>
    </w:p>
    <w:p w:rsidR="00FC0887" w:rsidRPr="0001300F" w:rsidRDefault="00FC0887" w:rsidP="0001300F">
      <w:pPr>
        <w:pStyle w:val="af2"/>
        <w:numPr>
          <w:ilvl w:val="0"/>
          <w:numId w:val="8"/>
        </w:numPr>
        <w:jc w:val="both"/>
        <w:rPr>
          <w:rFonts w:eastAsia="Calibri"/>
          <w:sz w:val="28"/>
          <w:szCs w:val="28"/>
          <w:lang w:eastAsia="en-US"/>
        </w:rPr>
      </w:pPr>
      <w:r w:rsidRPr="0001300F">
        <w:rPr>
          <w:rFonts w:eastAsia="Calibri"/>
          <w:sz w:val="28"/>
          <w:szCs w:val="28"/>
          <w:lang w:eastAsia="en-US"/>
        </w:rPr>
        <w:t>Настоящее распоряжение вступает в силу со дня его подписания.</w:t>
      </w:r>
    </w:p>
    <w:p w:rsidR="00FC0887" w:rsidRDefault="00FC0887" w:rsidP="00FC088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B56E0" w:rsidRPr="00FC0887" w:rsidRDefault="001B56E0" w:rsidP="00FC088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FC0887" w:rsidRPr="00FC0887" w:rsidRDefault="00FC0887" w:rsidP="00FC0887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008DC" w:rsidRPr="008008DC" w:rsidRDefault="008008DC" w:rsidP="008008DC">
      <w:pPr>
        <w:jc w:val="both"/>
        <w:rPr>
          <w:color w:val="000000"/>
          <w:sz w:val="28"/>
          <w:szCs w:val="28"/>
        </w:rPr>
      </w:pPr>
    </w:p>
    <w:p w:rsidR="00AB3BBF" w:rsidRDefault="001B56E0" w:rsidP="00AB3BBF">
      <w:pPr>
        <w:suppressAutoHyphens/>
        <w:autoSpaceDE w:val="0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401112" w:rsidRPr="0040111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AB3BBF">
        <w:rPr>
          <w:sz w:val="28"/>
          <w:szCs w:val="28"/>
          <w:lang w:eastAsia="ar-SA"/>
        </w:rPr>
        <w:t xml:space="preserve"> </w:t>
      </w:r>
      <w:r w:rsidR="00401112" w:rsidRPr="00401112">
        <w:rPr>
          <w:sz w:val="28"/>
          <w:szCs w:val="28"/>
          <w:lang w:eastAsia="ar-SA"/>
        </w:rPr>
        <w:t xml:space="preserve">Новоселицкого </w:t>
      </w:r>
    </w:p>
    <w:p w:rsidR="00AB3BBF" w:rsidRDefault="00401112" w:rsidP="00AB3BBF">
      <w:pPr>
        <w:suppressAutoHyphens/>
        <w:autoSpaceDE w:val="0"/>
        <w:spacing w:line="240" w:lineRule="exact"/>
        <w:rPr>
          <w:sz w:val="28"/>
          <w:szCs w:val="28"/>
          <w:lang w:eastAsia="ar-SA"/>
        </w:rPr>
      </w:pPr>
      <w:r w:rsidRPr="00401112">
        <w:rPr>
          <w:sz w:val="28"/>
          <w:szCs w:val="28"/>
          <w:lang w:eastAsia="ar-SA"/>
        </w:rPr>
        <w:t xml:space="preserve">муниципального </w:t>
      </w:r>
      <w:r w:rsidR="00AB3BBF">
        <w:rPr>
          <w:sz w:val="28"/>
          <w:szCs w:val="28"/>
          <w:lang w:eastAsia="ar-SA"/>
        </w:rPr>
        <w:t>округа</w:t>
      </w:r>
    </w:p>
    <w:p w:rsidR="0001450C" w:rsidRDefault="00AB3BBF" w:rsidP="00AB3BBF">
      <w:pPr>
        <w:suppressAutoHyphens/>
        <w:autoSpaceDE w:val="0"/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Ставропольского края                       </w:t>
      </w:r>
      <w:r w:rsidR="001B56E0">
        <w:rPr>
          <w:sz w:val="28"/>
          <w:szCs w:val="28"/>
          <w:lang w:eastAsia="ar-SA"/>
        </w:rPr>
        <w:t xml:space="preserve">                                         </w:t>
      </w:r>
      <w:proofErr w:type="spellStart"/>
      <w:r w:rsidR="00C3457A">
        <w:rPr>
          <w:sz w:val="28"/>
          <w:szCs w:val="28"/>
          <w:lang w:eastAsia="ar-SA"/>
        </w:rPr>
        <w:t>О.С.Безменов</w:t>
      </w:r>
      <w:proofErr w:type="spellEnd"/>
    </w:p>
    <w:p w:rsidR="0001300F" w:rsidRDefault="0001300F" w:rsidP="001816D5">
      <w:pPr>
        <w:autoSpaceDE w:val="0"/>
        <w:autoSpaceDN w:val="0"/>
        <w:adjustRightInd w:val="0"/>
        <w:spacing w:line="240" w:lineRule="exact"/>
        <w:ind w:left="-1134"/>
      </w:pPr>
    </w:p>
    <w:p w:rsidR="0001300F" w:rsidRDefault="0001300F" w:rsidP="001816D5">
      <w:pPr>
        <w:autoSpaceDE w:val="0"/>
        <w:autoSpaceDN w:val="0"/>
        <w:adjustRightInd w:val="0"/>
        <w:spacing w:line="240" w:lineRule="exact"/>
        <w:ind w:left="-1134"/>
      </w:pPr>
    </w:p>
    <w:p w:rsidR="0001300F" w:rsidRDefault="0001300F" w:rsidP="001816D5">
      <w:pPr>
        <w:autoSpaceDE w:val="0"/>
        <w:autoSpaceDN w:val="0"/>
        <w:adjustRightInd w:val="0"/>
        <w:spacing w:line="240" w:lineRule="exact"/>
        <w:ind w:left="-1134"/>
      </w:pPr>
    </w:p>
    <w:p w:rsidR="0001300F" w:rsidRDefault="0001300F" w:rsidP="001816D5">
      <w:pPr>
        <w:autoSpaceDE w:val="0"/>
        <w:autoSpaceDN w:val="0"/>
        <w:adjustRightInd w:val="0"/>
        <w:spacing w:line="240" w:lineRule="exact"/>
        <w:ind w:left="-1134"/>
      </w:pPr>
    </w:p>
    <w:p w:rsidR="001816D5" w:rsidRDefault="001816D5" w:rsidP="00060E20">
      <w:pPr>
        <w:jc w:val="center"/>
        <w:rPr>
          <w:b/>
          <w:sz w:val="32"/>
          <w:szCs w:val="32"/>
        </w:rPr>
        <w:sectPr w:rsidR="001816D5" w:rsidSect="008008DC">
          <w:headerReference w:type="default" r:id="rId10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E859C0" w:rsidRDefault="00E859C0" w:rsidP="00E859C0">
      <w:pPr>
        <w:autoSpaceDE w:val="0"/>
        <w:autoSpaceDN w:val="0"/>
        <w:adjustRightInd w:val="0"/>
        <w:spacing w:line="240" w:lineRule="exact"/>
        <w:ind w:hanging="297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Приложение</w:t>
      </w:r>
    </w:p>
    <w:p w:rsidR="00E859C0" w:rsidRDefault="00E859C0" w:rsidP="00E859C0">
      <w:pPr>
        <w:autoSpaceDE w:val="0"/>
        <w:autoSpaceDN w:val="0"/>
        <w:adjustRightInd w:val="0"/>
        <w:spacing w:line="240" w:lineRule="exact"/>
        <w:ind w:hanging="297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к распоряжению администрации</w:t>
      </w:r>
    </w:p>
    <w:p w:rsidR="00E859C0" w:rsidRDefault="00E859C0" w:rsidP="00E859C0">
      <w:pPr>
        <w:autoSpaceDE w:val="0"/>
        <w:autoSpaceDN w:val="0"/>
        <w:adjustRightInd w:val="0"/>
        <w:spacing w:line="240" w:lineRule="exact"/>
        <w:ind w:hanging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Новоселицкого муниципального округа</w:t>
      </w:r>
    </w:p>
    <w:p w:rsidR="00E859C0" w:rsidRDefault="00E859C0" w:rsidP="00E859C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Ставропольского края</w:t>
      </w:r>
    </w:p>
    <w:p w:rsidR="00E859C0" w:rsidRDefault="00E859C0" w:rsidP="00E859C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D2A82">
        <w:rPr>
          <w:sz w:val="28"/>
          <w:szCs w:val="28"/>
        </w:rPr>
        <w:t xml:space="preserve"> </w:t>
      </w:r>
      <w:r>
        <w:rPr>
          <w:sz w:val="28"/>
          <w:szCs w:val="28"/>
        </w:rPr>
        <w:t>от  30  мая    2023г.________ №  236 -</w:t>
      </w:r>
      <w:proofErr w:type="gramStart"/>
      <w:r>
        <w:rPr>
          <w:sz w:val="28"/>
          <w:szCs w:val="28"/>
        </w:rPr>
        <w:t>р</w:t>
      </w:r>
      <w:proofErr w:type="gramEnd"/>
    </w:p>
    <w:p w:rsidR="00E859C0" w:rsidRDefault="00E859C0" w:rsidP="00E859C0">
      <w:pPr>
        <w:jc w:val="center"/>
        <w:rPr>
          <w:sz w:val="28"/>
          <w:szCs w:val="28"/>
        </w:rPr>
      </w:pPr>
    </w:p>
    <w:p w:rsidR="00E859C0" w:rsidRDefault="00E859C0" w:rsidP="00E859C0">
      <w:pPr>
        <w:jc w:val="center"/>
        <w:rPr>
          <w:sz w:val="28"/>
          <w:szCs w:val="28"/>
        </w:rPr>
      </w:pPr>
    </w:p>
    <w:p w:rsidR="00E859C0" w:rsidRPr="007E48EF" w:rsidRDefault="00E859C0" w:rsidP="00E859C0">
      <w:pPr>
        <w:jc w:val="center"/>
        <w:rPr>
          <w:sz w:val="28"/>
          <w:szCs w:val="28"/>
        </w:rPr>
      </w:pPr>
      <w:r w:rsidRPr="007E48EF">
        <w:rPr>
          <w:sz w:val="28"/>
          <w:szCs w:val="28"/>
        </w:rPr>
        <w:t>Результаты мониторинга качества финансового менеджмента, осуществля</w:t>
      </w:r>
      <w:r w:rsidRPr="007E48EF">
        <w:rPr>
          <w:sz w:val="28"/>
          <w:szCs w:val="28"/>
        </w:rPr>
        <w:t>е</w:t>
      </w:r>
      <w:r w:rsidRPr="007E48EF">
        <w:rPr>
          <w:sz w:val="28"/>
          <w:szCs w:val="28"/>
        </w:rPr>
        <w:t xml:space="preserve">мого </w:t>
      </w:r>
      <w:r>
        <w:rPr>
          <w:sz w:val="28"/>
          <w:szCs w:val="28"/>
        </w:rPr>
        <w:t>финансовым управлением администрации</w:t>
      </w:r>
      <w:r w:rsidRPr="007E48EF">
        <w:rPr>
          <w:sz w:val="28"/>
          <w:szCs w:val="28"/>
        </w:rPr>
        <w:t xml:space="preserve"> Новоселицкого муниципал</w:t>
      </w:r>
      <w:r w:rsidRPr="007E48EF">
        <w:rPr>
          <w:sz w:val="28"/>
          <w:szCs w:val="28"/>
        </w:rPr>
        <w:t>ь</w:t>
      </w:r>
      <w:r w:rsidRPr="007E48EF">
        <w:rPr>
          <w:sz w:val="28"/>
          <w:szCs w:val="28"/>
        </w:rPr>
        <w:t xml:space="preserve">ного </w:t>
      </w:r>
      <w:r>
        <w:rPr>
          <w:sz w:val="28"/>
          <w:szCs w:val="28"/>
        </w:rPr>
        <w:t>округа</w:t>
      </w:r>
      <w:r w:rsidRPr="007E48EF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7E48EF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7E48EF">
        <w:rPr>
          <w:sz w:val="28"/>
          <w:szCs w:val="28"/>
        </w:rPr>
        <w:t xml:space="preserve"> год</w:t>
      </w:r>
    </w:p>
    <w:p w:rsidR="00E859C0" w:rsidRDefault="00E859C0" w:rsidP="00E859C0">
      <w:pPr>
        <w:jc w:val="center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113E">
        <w:rPr>
          <w:sz w:val="28"/>
          <w:szCs w:val="28"/>
        </w:rPr>
        <w:t xml:space="preserve">соответствии с Порядком проведения финансовым управлением </w:t>
      </w:r>
      <w:proofErr w:type="gramStart"/>
      <w:r w:rsidRPr="008D113E">
        <w:rPr>
          <w:sz w:val="28"/>
          <w:szCs w:val="28"/>
        </w:rPr>
        <w:t>а</w:t>
      </w:r>
      <w:r w:rsidRPr="008D113E">
        <w:rPr>
          <w:sz w:val="28"/>
          <w:szCs w:val="28"/>
        </w:rPr>
        <w:t>д</w:t>
      </w:r>
      <w:r w:rsidRPr="008D113E">
        <w:rPr>
          <w:sz w:val="28"/>
          <w:szCs w:val="28"/>
        </w:rPr>
        <w:t>министрации Новоселицкого муниципального округа Ставропольского края мониторинга качества финансового</w:t>
      </w:r>
      <w:proofErr w:type="gramEnd"/>
      <w:r w:rsidRPr="008D113E">
        <w:rPr>
          <w:sz w:val="28"/>
          <w:szCs w:val="28"/>
        </w:rPr>
        <w:t xml:space="preserve"> менеджмента,  утвержденным Постано</w:t>
      </w:r>
      <w:r w:rsidRPr="008D113E">
        <w:rPr>
          <w:sz w:val="28"/>
          <w:szCs w:val="28"/>
        </w:rPr>
        <w:t>в</w:t>
      </w:r>
      <w:r w:rsidRPr="008D113E">
        <w:rPr>
          <w:sz w:val="28"/>
          <w:szCs w:val="28"/>
        </w:rPr>
        <w:t>лением администрации Новоселицкого муниципального округа Ставропол</w:t>
      </w:r>
      <w:r w:rsidRPr="008D113E">
        <w:rPr>
          <w:sz w:val="28"/>
          <w:szCs w:val="28"/>
        </w:rPr>
        <w:t>ь</w:t>
      </w:r>
      <w:r w:rsidRPr="008D113E">
        <w:rPr>
          <w:sz w:val="28"/>
          <w:szCs w:val="28"/>
        </w:rPr>
        <w:t>ского края от 26 апреля 2023 г.№ 260, мониторинг качества финансового м</w:t>
      </w:r>
      <w:r w:rsidRPr="008D113E">
        <w:rPr>
          <w:sz w:val="28"/>
          <w:szCs w:val="28"/>
        </w:rPr>
        <w:t>е</w:t>
      </w:r>
      <w:r w:rsidRPr="008D113E">
        <w:rPr>
          <w:sz w:val="28"/>
          <w:szCs w:val="28"/>
        </w:rPr>
        <w:t>неджмента</w:t>
      </w:r>
      <w:r>
        <w:rPr>
          <w:sz w:val="28"/>
          <w:szCs w:val="28"/>
        </w:rPr>
        <w:t xml:space="preserve"> проводится по показателям, сгруппированным по следующим направлениям:</w:t>
      </w:r>
    </w:p>
    <w:p w:rsidR="00E859C0" w:rsidRDefault="00E859C0" w:rsidP="00E859C0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бюджета Новоселицкого муниципального</w:t>
      </w:r>
      <w:r w:rsidRPr="001D267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края;</w:t>
      </w:r>
    </w:p>
    <w:p w:rsidR="00E859C0" w:rsidRDefault="00E859C0" w:rsidP="00E859C0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Новоселицкого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края;</w:t>
      </w:r>
    </w:p>
    <w:p w:rsidR="00E859C0" w:rsidRDefault="00E859C0" w:rsidP="00E859C0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 отчетности;</w:t>
      </w:r>
    </w:p>
    <w:p w:rsidR="00E859C0" w:rsidRDefault="00E859C0" w:rsidP="00E859C0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функций и полномочий учредителя в отношении муниципальных учреждений Новоселицкого муниципального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Ставропольского края;</w:t>
      </w:r>
    </w:p>
    <w:p w:rsidR="00E859C0" w:rsidRDefault="00E859C0" w:rsidP="00E859C0">
      <w:pPr>
        <w:pStyle w:val="af2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бюджетного законодательства и осуществление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финансового контроля и внутреннего финансового аудита.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качества финансового менеджмента, осуществляемого </w:t>
      </w:r>
      <w:r w:rsidRPr="008D113E">
        <w:rPr>
          <w:sz w:val="28"/>
          <w:szCs w:val="28"/>
        </w:rPr>
        <w:t>финансовым управлением администрации</w:t>
      </w:r>
      <w:r>
        <w:rPr>
          <w:sz w:val="28"/>
          <w:szCs w:val="28"/>
        </w:rPr>
        <w:t xml:space="preserve"> Новоселицкого муниципального округа Ставропольского края (далее – мониторинг), проводился на основании данных бюджетной отчетности за 2022 год, а также материалов за 2022 год, представленных всеми  органами местного самоуправления Новоселицкого муниципального округа Ставропольского края (далее-ОМС) в финансовое управление администрации Новоселицкого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качества финансового менеджмента в разрезе направлений: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5B03">
        <w:rPr>
          <w:sz w:val="28"/>
          <w:szCs w:val="28"/>
        </w:rPr>
        <w:t xml:space="preserve">При </w:t>
      </w:r>
      <w:r>
        <w:rPr>
          <w:sz w:val="28"/>
          <w:szCs w:val="28"/>
        </w:rPr>
        <w:t>оценке</w:t>
      </w:r>
      <w:r w:rsidRPr="00B55B03">
        <w:rPr>
          <w:sz w:val="28"/>
          <w:szCs w:val="28"/>
        </w:rPr>
        <w:t xml:space="preserve"> </w:t>
      </w:r>
      <w:r w:rsidRPr="00B55B03">
        <w:rPr>
          <w:sz w:val="28"/>
          <w:szCs w:val="28"/>
          <w:u w:val="single"/>
        </w:rPr>
        <w:t>качества планирования бюджета</w:t>
      </w:r>
      <w:r w:rsidRPr="00B55B03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учитывались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сведения: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03">
        <w:rPr>
          <w:sz w:val="28"/>
          <w:szCs w:val="28"/>
        </w:rPr>
        <w:t>частот</w:t>
      </w:r>
      <w:r>
        <w:rPr>
          <w:sz w:val="28"/>
          <w:szCs w:val="28"/>
        </w:rPr>
        <w:t>а</w:t>
      </w:r>
      <w:r w:rsidRPr="00B55B03">
        <w:rPr>
          <w:sz w:val="28"/>
          <w:szCs w:val="28"/>
        </w:rPr>
        <w:t xml:space="preserve"> внесения изменений в сводную бюджетную роспись</w:t>
      </w:r>
      <w:r>
        <w:rPr>
          <w:sz w:val="28"/>
          <w:szCs w:val="28"/>
        </w:rPr>
        <w:t xml:space="preserve"> ОМС;</w:t>
      </w:r>
      <w:r w:rsidRPr="00B55B03">
        <w:rPr>
          <w:sz w:val="28"/>
          <w:szCs w:val="28"/>
        </w:rPr>
        <w:t xml:space="preserve"> 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03">
        <w:rPr>
          <w:sz w:val="28"/>
          <w:szCs w:val="28"/>
        </w:rPr>
        <w:t>сумм</w:t>
      </w:r>
      <w:r>
        <w:rPr>
          <w:sz w:val="28"/>
          <w:szCs w:val="28"/>
        </w:rPr>
        <w:t>а</w:t>
      </w:r>
      <w:r w:rsidRPr="00B55B03">
        <w:rPr>
          <w:sz w:val="28"/>
          <w:szCs w:val="28"/>
        </w:rPr>
        <w:t xml:space="preserve"> изменений в бюджетную роспись</w:t>
      </w:r>
      <w:r>
        <w:rPr>
          <w:sz w:val="28"/>
          <w:szCs w:val="28"/>
        </w:rPr>
        <w:t xml:space="preserve"> ОМС;</w:t>
      </w:r>
      <w:r w:rsidRPr="00B55B03">
        <w:rPr>
          <w:sz w:val="28"/>
          <w:szCs w:val="28"/>
        </w:rPr>
        <w:t xml:space="preserve"> 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реализации муниципальных программ Новоселицкого муниципального округа Ставропольского края;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качество</w:t>
      </w:r>
      <w:r w:rsidRPr="00B55B03">
        <w:rPr>
          <w:sz w:val="28"/>
          <w:szCs w:val="28"/>
        </w:rPr>
        <w:t xml:space="preserve"> предоставления обоснований бюджетных ассигнований  на очередной финансовый год и плановый период</w:t>
      </w:r>
      <w:r>
        <w:rPr>
          <w:sz w:val="28"/>
          <w:szCs w:val="28"/>
        </w:rPr>
        <w:t>;</w:t>
      </w:r>
      <w:r w:rsidRPr="00B55B03">
        <w:rPr>
          <w:sz w:val="28"/>
          <w:szCs w:val="28"/>
        </w:rPr>
        <w:t xml:space="preserve"> 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B03">
        <w:rPr>
          <w:sz w:val="28"/>
          <w:szCs w:val="28"/>
        </w:rPr>
        <w:t>объем неисполненных на ко</w:t>
      </w:r>
      <w:r>
        <w:rPr>
          <w:sz w:val="28"/>
          <w:szCs w:val="28"/>
        </w:rPr>
        <w:t>нец года бюджетных ассигнований;</w:t>
      </w:r>
    </w:p>
    <w:p w:rsidR="00E859C0" w:rsidRPr="00B55B03" w:rsidRDefault="00E859C0" w:rsidP="00E859C0">
      <w:pPr>
        <w:ind w:firstLine="709"/>
        <w:jc w:val="both"/>
        <w:rPr>
          <w:sz w:val="28"/>
          <w:szCs w:val="28"/>
        </w:rPr>
      </w:pPr>
      <w:r w:rsidRPr="00B55B03">
        <w:rPr>
          <w:sz w:val="28"/>
          <w:szCs w:val="28"/>
        </w:rPr>
        <w:t xml:space="preserve"> </w:t>
      </w:r>
      <w:r>
        <w:rPr>
          <w:sz w:val="28"/>
          <w:szCs w:val="28"/>
        </w:rPr>
        <w:t>- отклонение кассового</w:t>
      </w:r>
      <w:r w:rsidRPr="00B55B03">
        <w:rPr>
          <w:sz w:val="28"/>
          <w:szCs w:val="28"/>
        </w:rPr>
        <w:t xml:space="preserve"> исполнения доходов местного бюджета</w:t>
      </w:r>
      <w:r>
        <w:rPr>
          <w:sz w:val="28"/>
          <w:szCs w:val="28"/>
        </w:rPr>
        <w:t xml:space="preserve"> от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гноза по главному администратору доходов</w:t>
      </w:r>
      <w:r w:rsidRPr="00B55B03">
        <w:rPr>
          <w:sz w:val="28"/>
          <w:szCs w:val="28"/>
        </w:rPr>
        <w:t>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изменений в бюджетную роспись ОМС, за исключением случаев, связанных с внесением изменений в решение о бюджете Новосели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муниципального округа Ставропольского края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год и плановый период, за счет дополнительно поступивших средств из бюджета вышестоящего уровня, распределения остатков средств по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нию на 01 января отчетного года, средств на осуществление софинансиров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расходов за счет средств местного бюджета, </w:t>
      </w:r>
      <w:r w:rsidRPr="00754BAF">
        <w:rPr>
          <w:sz w:val="28"/>
          <w:szCs w:val="28"/>
        </w:rPr>
        <w:t>связано с</w:t>
      </w:r>
      <w:proofErr w:type="gramEnd"/>
      <w:r w:rsidRPr="00754BAF">
        <w:rPr>
          <w:sz w:val="28"/>
          <w:szCs w:val="28"/>
        </w:rPr>
        <w:t xml:space="preserve"> внесением изм</w:t>
      </w:r>
      <w:r w:rsidRPr="00754BAF">
        <w:rPr>
          <w:sz w:val="28"/>
          <w:szCs w:val="28"/>
        </w:rPr>
        <w:t>е</w:t>
      </w:r>
      <w:r w:rsidRPr="00754BAF">
        <w:rPr>
          <w:sz w:val="28"/>
          <w:szCs w:val="28"/>
        </w:rPr>
        <w:t>нений между кодами бюджетной классификации, что свидетельствует о ни</w:t>
      </w:r>
      <w:r w:rsidRPr="00754BAF">
        <w:rPr>
          <w:sz w:val="28"/>
          <w:szCs w:val="28"/>
        </w:rPr>
        <w:t>з</w:t>
      </w:r>
      <w:r w:rsidRPr="00754BAF">
        <w:rPr>
          <w:sz w:val="28"/>
          <w:szCs w:val="28"/>
        </w:rPr>
        <w:t>ком качестве планирования расходов, не учитывающем реальные потребн</w:t>
      </w:r>
      <w:r w:rsidRPr="00754BAF">
        <w:rPr>
          <w:sz w:val="28"/>
          <w:szCs w:val="28"/>
        </w:rPr>
        <w:t>о</w:t>
      </w:r>
      <w:r w:rsidRPr="00754BAF">
        <w:rPr>
          <w:sz w:val="28"/>
          <w:szCs w:val="28"/>
        </w:rPr>
        <w:t>сти подведомственных учреждений. В 2022 году общее число таких измен</w:t>
      </w:r>
      <w:r w:rsidRPr="00754BAF">
        <w:rPr>
          <w:sz w:val="28"/>
          <w:szCs w:val="28"/>
        </w:rPr>
        <w:t>е</w:t>
      </w:r>
      <w:r w:rsidRPr="00754BAF">
        <w:rPr>
          <w:sz w:val="28"/>
          <w:szCs w:val="28"/>
        </w:rPr>
        <w:t>ний в бюджетную роспись органов</w:t>
      </w:r>
      <w:r>
        <w:rPr>
          <w:sz w:val="28"/>
          <w:szCs w:val="28"/>
        </w:rPr>
        <w:t xml:space="preserve"> местного самоуправления  значительно уменьшилось по сравнению с 2021 годом и составило 18</w:t>
      </w:r>
      <w:r w:rsidRPr="00EA3DA1">
        <w:rPr>
          <w:sz w:val="28"/>
          <w:szCs w:val="28"/>
        </w:rPr>
        <w:t xml:space="preserve"> единиц.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ОМС по показателям, входящим в первое направление представлены ниже: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43CAE4" wp14:editId="5BCB773A">
            <wp:extent cx="6066846" cy="3999506"/>
            <wp:effectExtent l="0" t="0" r="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по сравнению с оценкой за 2021 год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 улучшили свои показатели Совет НМО СК (с 0,59 до 0,77), отдел культуры АНМО СК (с 0,63 до 0,79),  контрольно-счетная палата НМО СК (с </w:t>
      </w:r>
      <w:r>
        <w:rPr>
          <w:sz w:val="28"/>
          <w:szCs w:val="28"/>
        </w:rPr>
        <w:lastRenderedPageBreak/>
        <w:t xml:space="preserve">0,60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0,80), ухудшили показатели – администрация НМО СК (с 0,79 до 0,58). 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Для повышения итоговой  оценки качества планирования бюджета р</w:t>
      </w:r>
      <w:r w:rsidRPr="00BD7AFC">
        <w:rPr>
          <w:sz w:val="28"/>
          <w:szCs w:val="28"/>
        </w:rPr>
        <w:t>е</w:t>
      </w:r>
      <w:r w:rsidRPr="00BD7AFC">
        <w:rPr>
          <w:sz w:val="28"/>
          <w:szCs w:val="28"/>
        </w:rPr>
        <w:t>комендуем главным распорядителям бюджетных средств: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своевременно и качественно представлять обоснования бюджетных ассигнований ОМС на очередной финансовый год и плановый период в ф</w:t>
      </w:r>
      <w:r w:rsidRPr="00BD7AFC">
        <w:rPr>
          <w:sz w:val="28"/>
          <w:szCs w:val="28"/>
        </w:rPr>
        <w:t>и</w:t>
      </w:r>
      <w:r w:rsidRPr="00BD7AFC">
        <w:rPr>
          <w:sz w:val="28"/>
          <w:szCs w:val="28"/>
        </w:rPr>
        <w:t>нансовое управление АНМО СК;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при формировании обоснований бюджетных ассигнований ОМС на очередной финансовый год и плановый период учитывать реальные потре</w:t>
      </w:r>
      <w:r w:rsidRPr="00BD7AFC">
        <w:rPr>
          <w:sz w:val="28"/>
          <w:szCs w:val="28"/>
        </w:rPr>
        <w:t>б</w:t>
      </w:r>
      <w:r w:rsidRPr="00BD7AFC">
        <w:rPr>
          <w:sz w:val="28"/>
          <w:szCs w:val="28"/>
        </w:rPr>
        <w:t>ности отделов, управлений АНМО СК и подведомственных муниципальных учреждений;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планировать бюджетные ассигнования на очередной финансовый год в соответствии с принятыми обоснованиями бюджетных ассигнований ОМС и кодами бюджетной классификации;</w:t>
      </w:r>
    </w:p>
    <w:p w:rsidR="00E859C0" w:rsidRPr="0059379D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прогноз поступлений доходов производить в соответствии с Метод</w:t>
      </w:r>
      <w:r w:rsidRPr="00BD7AFC">
        <w:rPr>
          <w:sz w:val="28"/>
          <w:szCs w:val="28"/>
        </w:rPr>
        <w:t>и</w:t>
      </w:r>
      <w:r w:rsidRPr="00BD7AFC">
        <w:rPr>
          <w:sz w:val="28"/>
          <w:szCs w:val="28"/>
        </w:rPr>
        <w:t>кой прогнозирования доходов, утвержденной нормативно-правовым актом  администратора доходов.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оценке </w:t>
      </w:r>
      <w:proofErr w:type="gramStart"/>
      <w:r w:rsidRPr="00180AC3">
        <w:rPr>
          <w:sz w:val="28"/>
          <w:szCs w:val="28"/>
          <w:u w:val="single"/>
        </w:rPr>
        <w:t>качества исполнения бюджета</w:t>
      </w:r>
      <w:r>
        <w:rPr>
          <w:sz w:val="28"/>
          <w:szCs w:val="28"/>
        </w:rPr>
        <w:t xml:space="preserve">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 округа Ставропольского края</w:t>
      </w:r>
      <w:proofErr w:type="gramEnd"/>
      <w:r>
        <w:rPr>
          <w:sz w:val="28"/>
          <w:szCs w:val="28"/>
        </w:rPr>
        <w:t xml:space="preserve">  использовались следующие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равномерность осуществления расходов;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управления кредиторской задолженностью;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отклонение кассового исполнения расходов ОМС от кассового плана;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управления средствами местного бюджета в части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субсидий на выполнение муниципального задания;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управления средствами местного бюджета в части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субсидий и субвенций из бюджета вышестоящего уровня.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возмещение вреда, причиненного в результате незаконных действий (бездействия) ОМС либо должностных лиц этих органов, а также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деятельности муниципальных казенных учреждений НМО.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ОМС</w:t>
      </w:r>
      <w:r w:rsidRPr="007138F5">
        <w:rPr>
          <w:sz w:val="28"/>
          <w:szCs w:val="28"/>
        </w:rPr>
        <w:t xml:space="preserve"> по показателям, входящим во второе</w:t>
      </w:r>
      <w:r>
        <w:rPr>
          <w:sz w:val="28"/>
          <w:szCs w:val="28"/>
        </w:rPr>
        <w:t xml:space="preserve"> направление представлены ниже:</w:t>
      </w:r>
    </w:p>
    <w:p w:rsidR="00E859C0" w:rsidRDefault="00E859C0" w:rsidP="00E85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A7DDF2D" wp14:editId="79E7B974">
            <wp:extent cx="5995284" cy="3864334"/>
            <wp:effectExtent l="0" t="0" r="5715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Pr="005E53CE" w:rsidRDefault="00E859C0" w:rsidP="00E859C0">
      <w:pPr>
        <w:ind w:firstLine="709"/>
        <w:jc w:val="both"/>
        <w:rPr>
          <w:sz w:val="28"/>
          <w:szCs w:val="28"/>
        </w:rPr>
      </w:pPr>
      <w:r w:rsidRPr="005E53CE">
        <w:rPr>
          <w:sz w:val="28"/>
          <w:szCs w:val="28"/>
        </w:rPr>
        <w:t>По сравнению с оценкой за 202</w:t>
      </w:r>
      <w:r>
        <w:rPr>
          <w:sz w:val="28"/>
          <w:szCs w:val="28"/>
        </w:rPr>
        <w:t>1</w:t>
      </w:r>
      <w:r w:rsidRPr="005E53CE">
        <w:rPr>
          <w:sz w:val="28"/>
          <w:szCs w:val="28"/>
        </w:rPr>
        <w:t xml:space="preserve"> год свои показатели по данному направлению </w:t>
      </w:r>
      <w:r w:rsidRPr="00FB51D9">
        <w:rPr>
          <w:sz w:val="28"/>
          <w:szCs w:val="28"/>
        </w:rPr>
        <w:t>незначительно</w:t>
      </w:r>
      <w:r>
        <w:rPr>
          <w:sz w:val="28"/>
          <w:szCs w:val="28"/>
        </w:rPr>
        <w:t xml:space="preserve"> ухудшили</w:t>
      </w:r>
      <w:r w:rsidRPr="005E53CE">
        <w:rPr>
          <w:sz w:val="28"/>
          <w:szCs w:val="28"/>
        </w:rPr>
        <w:t xml:space="preserve"> Совет НМО СК (с </w:t>
      </w:r>
      <w:r>
        <w:rPr>
          <w:sz w:val="28"/>
          <w:szCs w:val="28"/>
        </w:rPr>
        <w:t>1,28</w:t>
      </w:r>
      <w:r w:rsidRPr="005E53CE">
        <w:rPr>
          <w:sz w:val="28"/>
          <w:szCs w:val="28"/>
        </w:rPr>
        <w:t xml:space="preserve"> до 1,</w:t>
      </w:r>
      <w:r>
        <w:rPr>
          <w:sz w:val="28"/>
          <w:szCs w:val="28"/>
        </w:rPr>
        <w:t>16)</w:t>
      </w:r>
      <w:r w:rsidRPr="005E53CE">
        <w:rPr>
          <w:sz w:val="28"/>
          <w:szCs w:val="28"/>
        </w:rPr>
        <w:t xml:space="preserve">, управление труда и социальной защиты населения АНМО СК (с </w:t>
      </w:r>
      <w:r>
        <w:rPr>
          <w:sz w:val="28"/>
          <w:szCs w:val="28"/>
        </w:rPr>
        <w:t>1,29</w:t>
      </w:r>
      <w:r w:rsidRPr="005E53CE">
        <w:rPr>
          <w:sz w:val="28"/>
          <w:szCs w:val="28"/>
        </w:rPr>
        <w:t xml:space="preserve"> до 1,2</w:t>
      </w:r>
      <w:r>
        <w:rPr>
          <w:sz w:val="28"/>
          <w:szCs w:val="28"/>
        </w:rPr>
        <w:t>5</w:t>
      </w:r>
      <w:r w:rsidRPr="005E53CE">
        <w:rPr>
          <w:sz w:val="28"/>
          <w:szCs w:val="28"/>
        </w:rPr>
        <w:t xml:space="preserve"> баллов).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Pr="005E53CE">
        <w:rPr>
          <w:sz w:val="28"/>
          <w:szCs w:val="28"/>
        </w:rPr>
        <w:t>о данному направлению самый</w:t>
      </w:r>
      <w:r>
        <w:rPr>
          <w:sz w:val="28"/>
          <w:szCs w:val="28"/>
        </w:rPr>
        <w:t xml:space="preserve"> низкий показатель набл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дается у администрации НМО СК – 0,97 и отдела образования АНМО СК – 0,96. Самый высокий </w:t>
      </w:r>
      <w:proofErr w:type="gramStart"/>
      <w:r>
        <w:rPr>
          <w:sz w:val="28"/>
          <w:szCs w:val="28"/>
        </w:rPr>
        <w:t>показатель</w:t>
      </w:r>
      <w:proofErr w:type="gramEnd"/>
      <w:r>
        <w:rPr>
          <w:sz w:val="28"/>
          <w:szCs w:val="28"/>
        </w:rPr>
        <w:t xml:space="preserve"> достигнут </w:t>
      </w:r>
      <w:proofErr w:type="spellStart"/>
      <w:r>
        <w:rPr>
          <w:sz w:val="28"/>
          <w:szCs w:val="28"/>
        </w:rPr>
        <w:t>Новомаякским</w:t>
      </w:r>
      <w:proofErr w:type="spellEnd"/>
      <w:r>
        <w:rPr>
          <w:sz w:val="28"/>
          <w:szCs w:val="28"/>
        </w:rPr>
        <w:t xml:space="preserve"> территориальным отделом  АНМО СК – 1,71 и Журавским территориальным отделом  АНМО СК – 1,66.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Для повышения итоговой  оценки качества исполнения бюджета рек</w:t>
      </w:r>
      <w:r w:rsidRPr="00BD7AFC">
        <w:rPr>
          <w:sz w:val="28"/>
          <w:szCs w:val="28"/>
        </w:rPr>
        <w:t>о</w:t>
      </w:r>
      <w:r w:rsidRPr="00BD7AFC">
        <w:rPr>
          <w:sz w:val="28"/>
          <w:szCs w:val="28"/>
        </w:rPr>
        <w:t>мендуем главным распорядителям бюджетных средств: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равномерно осуществлять кассовые расходы в течени</w:t>
      </w:r>
      <w:proofErr w:type="gramStart"/>
      <w:r w:rsidRPr="00BD7AFC">
        <w:rPr>
          <w:sz w:val="28"/>
          <w:szCs w:val="28"/>
        </w:rPr>
        <w:t>и</w:t>
      </w:r>
      <w:proofErr w:type="gramEnd"/>
      <w:r w:rsidRPr="00BD7AFC">
        <w:rPr>
          <w:sz w:val="28"/>
          <w:szCs w:val="28"/>
        </w:rPr>
        <w:t xml:space="preserve"> текущего ф</w:t>
      </w:r>
      <w:r w:rsidRPr="00BD7AFC">
        <w:rPr>
          <w:sz w:val="28"/>
          <w:szCs w:val="28"/>
        </w:rPr>
        <w:t>и</w:t>
      </w:r>
      <w:r w:rsidRPr="00BD7AFC">
        <w:rPr>
          <w:sz w:val="28"/>
          <w:szCs w:val="28"/>
        </w:rPr>
        <w:t>нансового года, а так же регулярно проводить мониторинг исполнения бю</w:t>
      </w:r>
      <w:r w:rsidRPr="00BD7AFC">
        <w:rPr>
          <w:sz w:val="28"/>
          <w:szCs w:val="28"/>
        </w:rPr>
        <w:t>д</w:t>
      </w:r>
      <w:r w:rsidRPr="00BD7AFC">
        <w:rPr>
          <w:sz w:val="28"/>
          <w:szCs w:val="28"/>
        </w:rPr>
        <w:t>жета;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не допускать образование кредиторской задолженности;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- не допускать нарушения бюджетного законодательства Российской Федерации.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оценки по направлению </w:t>
      </w:r>
      <w:r w:rsidRPr="00180AC3">
        <w:rPr>
          <w:sz w:val="28"/>
          <w:szCs w:val="28"/>
          <w:u w:val="single"/>
        </w:rPr>
        <w:t>учет и отчетность</w:t>
      </w:r>
      <w:r>
        <w:rPr>
          <w:sz w:val="28"/>
          <w:szCs w:val="28"/>
        </w:rPr>
        <w:t xml:space="preserve"> анализ проведен по следующим показателям: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ОМС  отчетности об исполнении бюджета;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предоставления бухгалтерской отчетности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учреждений, подведомственных ОМС;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возвратов отчетности об исполнении ОМС на доработку.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ОМС по показателям, входящим в третье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ниже: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E7CF96" wp14:editId="611380BC">
            <wp:extent cx="5979381" cy="3927945"/>
            <wp:effectExtent l="0" t="0" r="25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59C0" w:rsidRDefault="00E859C0" w:rsidP="00E859C0">
      <w:pPr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по сравнению с оценкой за 2021 год улучш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показатели все главные распорядители бюджетных средств. Самый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кий </w:t>
      </w:r>
      <w:proofErr w:type="gramStart"/>
      <w:r>
        <w:rPr>
          <w:sz w:val="28"/>
          <w:szCs w:val="28"/>
        </w:rPr>
        <w:t>показатель</w:t>
      </w:r>
      <w:proofErr w:type="gramEnd"/>
      <w:r>
        <w:rPr>
          <w:sz w:val="28"/>
          <w:szCs w:val="28"/>
        </w:rPr>
        <w:t xml:space="preserve">  достигнут Советом НМО СК, финансовым управлением АНМО СК, контрольно-счетной палатой НМО СК, территориальным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 АНМО СК в селе Китаевском, </w:t>
      </w:r>
      <w:proofErr w:type="spellStart"/>
      <w:r>
        <w:rPr>
          <w:sz w:val="28"/>
          <w:szCs w:val="28"/>
        </w:rPr>
        <w:t>Новомаякским</w:t>
      </w:r>
      <w:proofErr w:type="spellEnd"/>
      <w:r>
        <w:rPr>
          <w:sz w:val="28"/>
          <w:szCs w:val="28"/>
        </w:rPr>
        <w:t xml:space="preserve"> территориальным отделом АНМО СК и территориальным отделом АНМО СК в поселке Щелкан.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Для повышения итоговой  оценки по учету и отчетности рекомендуем главным распорядителям бюджетных сре</w:t>
      </w:r>
      <w:proofErr w:type="gramStart"/>
      <w:r w:rsidRPr="00BD7AFC">
        <w:rPr>
          <w:sz w:val="28"/>
          <w:szCs w:val="28"/>
        </w:rPr>
        <w:t>дств пр</w:t>
      </w:r>
      <w:proofErr w:type="gramEnd"/>
      <w:r w:rsidRPr="00BD7AFC">
        <w:rPr>
          <w:sz w:val="28"/>
          <w:szCs w:val="28"/>
        </w:rPr>
        <w:t xml:space="preserve">едоставлять достоверную информацию в соответствии с утвержденными приказами по формированию отчетности </w:t>
      </w:r>
      <w:r>
        <w:rPr>
          <w:sz w:val="28"/>
          <w:szCs w:val="28"/>
        </w:rPr>
        <w:t>по казенным и бюджетным</w:t>
      </w:r>
      <w:r w:rsidRPr="00BD7AF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BD7AFC">
        <w:rPr>
          <w:sz w:val="28"/>
          <w:szCs w:val="28"/>
        </w:rPr>
        <w:t>.</w:t>
      </w:r>
    </w:p>
    <w:p w:rsidR="00E859C0" w:rsidRPr="007B65ED" w:rsidRDefault="00E859C0" w:rsidP="00E859C0">
      <w:pPr>
        <w:ind w:firstLine="709"/>
        <w:jc w:val="both"/>
        <w:rPr>
          <w:sz w:val="28"/>
          <w:szCs w:val="28"/>
          <w:highlight w:val="yellow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10220">
        <w:rPr>
          <w:sz w:val="28"/>
          <w:szCs w:val="28"/>
        </w:rPr>
        <w:t xml:space="preserve">Для оценки по направлению </w:t>
      </w:r>
      <w:r w:rsidRPr="00B10220">
        <w:rPr>
          <w:sz w:val="28"/>
          <w:szCs w:val="28"/>
          <w:u w:val="single"/>
        </w:rPr>
        <w:t>осуществление функций и полномочий учредителя  в отношении муниципальных учреждений Новоселицкого мун</w:t>
      </w:r>
      <w:r w:rsidRPr="00B10220">
        <w:rPr>
          <w:sz w:val="28"/>
          <w:szCs w:val="28"/>
          <w:u w:val="single"/>
        </w:rPr>
        <w:t>и</w:t>
      </w:r>
      <w:r w:rsidRPr="00B10220">
        <w:rPr>
          <w:sz w:val="28"/>
          <w:szCs w:val="28"/>
          <w:u w:val="single"/>
        </w:rPr>
        <w:t xml:space="preserve">ципального </w:t>
      </w:r>
      <w:r w:rsidRPr="00DF53A9">
        <w:rPr>
          <w:sz w:val="28"/>
          <w:szCs w:val="28"/>
          <w:u w:val="single"/>
        </w:rPr>
        <w:t>округа Ставропольского края</w:t>
      </w:r>
      <w:r>
        <w:rPr>
          <w:sz w:val="28"/>
          <w:szCs w:val="28"/>
        </w:rPr>
        <w:t xml:space="preserve"> оценивались следующие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ли:</w:t>
      </w:r>
    </w:p>
    <w:p w:rsidR="00E859C0" w:rsidRPr="00B10220" w:rsidRDefault="00E859C0" w:rsidP="00E859C0">
      <w:pPr>
        <w:ind w:firstLine="709"/>
        <w:jc w:val="both"/>
        <w:rPr>
          <w:sz w:val="28"/>
          <w:szCs w:val="28"/>
        </w:rPr>
      </w:pPr>
      <w:r w:rsidRPr="00B10220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B10220">
        <w:rPr>
          <w:sz w:val="28"/>
          <w:szCs w:val="28"/>
        </w:rPr>
        <w:t xml:space="preserve">аличие результатов </w:t>
      </w:r>
      <w:proofErr w:type="gramStart"/>
      <w:r w:rsidRPr="00B10220">
        <w:rPr>
          <w:sz w:val="28"/>
          <w:szCs w:val="28"/>
        </w:rPr>
        <w:t>контроля за</w:t>
      </w:r>
      <w:proofErr w:type="gramEnd"/>
      <w:r w:rsidRPr="00B10220">
        <w:rPr>
          <w:sz w:val="28"/>
          <w:szCs w:val="28"/>
        </w:rPr>
        <w:t xml:space="preserve"> исполнением муниципальных зад</w:t>
      </w:r>
      <w:r w:rsidRPr="00B10220">
        <w:rPr>
          <w:sz w:val="28"/>
          <w:szCs w:val="28"/>
        </w:rPr>
        <w:t>а</w:t>
      </w:r>
      <w:r w:rsidRPr="00B10220">
        <w:rPr>
          <w:sz w:val="28"/>
          <w:szCs w:val="28"/>
        </w:rPr>
        <w:t>ний на оказание муниципальных услуг</w:t>
      </w:r>
      <w:r>
        <w:rPr>
          <w:sz w:val="28"/>
          <w:szCs w:val="28"/>
        </w:rPr>
        <w:t>;</w:t>
      </w:r>
    </w:p>
    <w:p w:rsidR="00E859C0" w:rsidRPr="00B10220" w:rsidRDefault="00E859C0" w:rsidP="00E859C0">
      <w:pPr>
        <w:ind w:firstLine="709"/>
        <w:jc w:val="both"/>
        <w:rPr>
          <w:sz w:val="28"/>
          <w:szCs w:val="28"/>
        </w:rPr>
      </w:pPr>
      <w:r w:rsidRPr="00B10220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B10220">
        <w:rPr>
          <w:sz w:val="28"/>
          <w:szCs w:val="28"/>
        </w:rPr>
        <w:t>оля руководителей муниципальных у</w:t>
      </w:r>
      <w:r>
        <w:rPr>
          <w:sz w:val="28"/>
          <w:szCs w:val="28"/>
        </w:rPr>
        <w:t>чреждений, подведомственных ОМС</w:t>
      </w:r>
      <w:r w:rsidRPr="00B10220">
        <w:rPr>
          <w:sz w:val="28"/>
          <w:szCs w:val="28"/>
        </w:rPr>
        <w:t>, оплата труда которых определяется с учетом результатов их профе</w:t>
      </w:r>
      <w:r w:rsidRPr="00B10220">
        <w:rPr>
          <w:sz w:val="28"/>
          <w:szCs w:val="28"/>
        </w:rPr>
        <w:t>с</w:t>
      </w:r>
      <w:r w:rsidRPr="00B10220">
        <w:rPr>
          <w:sz w:val="28"/>
          <w:szCs w:val="28"/>
        </w:rPr>
        <w:t>сиональной деятельности</w:t>
      </w:r>
      <w:r>
        <w:rPr>
          <w:sz w:val="28"/>
          <w:szCs w:val="28"/>
        </w:rPr>
        <w:t>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 w:rsidRPr="00B1022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</w:t>
      </w:r>
      <w:r w:rsidRPr="00B10220">
        <w:rPr>
          <w:sz w:val="28"/>
          <w:szCs w:val="28"/>
        </w:rPr>
        <w:t>оля муниципальных у</w:t>
      </w:r>
      <w:r>
        <w:rPr>
          <w:sz w:val="28"/>
          <w:szCs w:val="28"/>
        </w:rPr>
        <w:t>чреждений, подведомственных ОМС</w:t>
      </w:r>
      <w:r w:rsidRPr="00B10220">
        <w:rPr>
          <w:sz w:val="28"/>
          <w:szCs w:val="28"/>
        </w:rPr>
        <w:t>, выпо</w:t>
      </w:r>
      <w:r w:rsidRPr="00B10220">
        <w:rPr>
          <w:sz w:val="28"/>
          <w:szCs w:val="28"/>
        </w:rPr>
        <w:t>л</w:t>
      </w:r>
      <w:r w:rsidRPr="00B10220">
        <w:rPr>
          <w:sz w:val="28"/>
          <w:szCs w:val="28"/>
        </w:rPr>
        <w:t>нивших муниципальное  задание в объеме 100%</w:t>
      </w:r>
      <w:r>
        <w:rPr>
          <w:sz w:val="28"/>
          <w:szCs w:val="28"/>
        </w:rPr>
        <w:t>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оцениваются те главные распорядители, у которых  имеются подведомственные учреждения: администрация НМО СК, финансовое управление АНМО СК, отдел образования АНМО СК и отдел культуры АНМО СК.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 w:rsidRPr="001545B8">
        <w:rPr>
          <w:sz w:val="28"/>
          <w:szCs w:val="28"/>
        </w:rPr>
        <w:t>По сравнению с оценкой за 202</w:t>
      </w:r>
      <w:r>
        <w:rPr>
          <w:sz w:val="28"/>
          <w:szCs w:val="28"/>
        </w:rPr>
        <w:t>1</w:t>
      </w:r>
      <w:r w:rsidRPr="001545B8">
        <w:rPr>
          <w:sz w:val="28"/>
          <w:szCs w:val="28"/>
        </w:rPr>
        <w:t xml:space="preserve"> год свои показатели по данному направлению улучшил отдел культуры АНМО СК (с 0,</w:t>
      </w:r>
      <w:r>
        <w:rPr>
          <w:sz w:val="28"/>
          <w:szCs w:val="28"/>
        </w:rPr>
        <w:t>76</w:t>
      </w:r>
      <w:r w:rsidRPr="001545B8">
        <w:rPr>
          <w:sz w:val="28"/>
          <w:szCs w:val="28"/>
        </w:rPr>
        <w:t xml:space="preserve"> до </w:t>
      </w:r>
      <w:r>
        <w:rPr>
          <w:sz w:val="28"/>
          <w:szCs w:val="28"/>
        </w:rPr>
        <w:t>1,00</w:t>
      </w:r>
      <w:r w:rsidRPr="001545B8">
        <w:rPr>
          <w:sz w:val="28"/>
          <w:szCs w:val="28"/>
        </w:rPr>
        <w:t>)</w:t>
      </w:r>
      <w:r>
        <w:rPr>
          <w:sz w:val="28"/>
          <w:szCs w:val="28"/>
        </w:rPr>
        <w:t>, отдел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АНМО СК </w:t>
      </w:r>
      <w:r w:rsidRPr="001545B8">
        <w:rPr>
          <w:sz w:val="28"/>
          <w:szCs w:val="28"/>
        </w:rPr>
        <w:t>(с 0,</w:t>
      </w:r>
      <w:r>
        <w:rPr>
          <w:sz w:val="28"/>
          <w:szCs w:val="28"/>
        </w:rPr>
        <w:t>67</w:t>
      </w:r>
      <w:r w:rsidRPr="001545B8">
        <w:rPr>
          <w:sz w:val="28"/>
          <w:szCs w:val="28"/>
        </w:rPr>
        <w:t xml:space="preserve"> до </w:t>
      </w:r>
      <w:r>
        <w:rPr>
          <w:sz w:val="28"/>
          <w:szCs w:val="28"/>
        </w:rPr>
        <w:t>1,00</w:t>
      </w:r>
      <w:r w:rsidRPr="001545B8">
        <w:rPr>
          <w:sz w:val="28"/>
          <w:szCs w:val="28"/>
        </w:rPr>
        <w:t>)</w:t>
      </w:r>
      <w:r>
        <w:rPr>
          <w:sz w:val="28"/>
          <w:szCs w:val="28"/>
        </w:rPr>
        <w:t xml:space="preserve">, администрация НМО СК </w:t>
      </w:r>
      <w:r w:rsidRPr="001545B8">
        <w:rPr>
          <w:sz w:val="28"/>
          <w:szCs w:val="28"/>
        </w:rPr>
        <w:t>(</w:t>
      </w:r>
      <w:proofErr w:type="gramStart"/>
      <w:r w:rsidRPr="001545B8">
        <w:rPr>
          <w:sz w:val="28"/>
          <w:szCs w:val="28"/>
        </w:rPr>
        <w:t>с</w:t>
      </w:r>
      <w:proofErr w:type="gramEnd"/>
      <w:r w:rsidRPr="001545B8">
        <w:rPr>
          <w:sz w:val="28"/>
          <w:szCs w:val="28"/>
        </w:rPr>
        <w:t xml:space="preserve"> 0,</w:t>
      </w:r>
      <w:r>
        <w:rPr>
          <w:sz w:val="28"/>
          <w:szCs w:val="28"/>
        </w:rPr>
        <w:t>67</w:t>
      </w:r>
      <w:r w:rsidRPr="001545B8">
        <w:rPr>
          <w:sz w:val="28"/>
          <w:szCs w:val="28"/>
        </w:rPr>
        <w:t xml:space="preserve"> до </w:t>
      </w:r>
      <w:r>
        <w:rPr>
          <w:sz w:val="28"/>
          <w:szCs w:val="28"/>
        </w:rPr>
        <w:t>1,00</w:t>
      </w:r>
      <w:r w:rsidRPr="001545B8">
        <w:rPr>
          <w:sz w:val="28"/>
          <w:szCs w:val="28"/>
        </w:rPr>
        <w:t>).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результаты ОМС по показателям, входящим в четвертое направление представлены ниже: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C51957" wp14:editId="5D69E38A">
            <wp:extent cx="6066846" cy="400745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9C0" w:rsidRDefault="00E859C0" w:rsidP="00E859C0">
      <w:pPr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По результатам проведенной оценки по данному направлению рек</w:t>
      </w:r>
      <w:r w:rsidRPr="00BD7AFC">
        <w:rPr>
          <w:sz w:val="28"/>
          <w:szCs w:val="28"/>
        </w:rPr>
        <w:t>о</w:t>
      </w:r>
      <w:r w:rsidRPr="00BD7AFC">
        <w:rPr>
          <w:sz w:val="28"/>
          <w:szCs w:val="28"/>
        </w:rPr>
        <w:t>мендуем главным распорядителям бюджетных средств, имеющим подведо</w:t>
      </w:r>
      <w:r w:rsidRPr="00BD7AFC">
        <w:rPr>
          <w:sz w:val="28"/>
          <w:szCs w:val="28"/>
        </w:rPr>
        <w:t>м</w:t>
      </w:r>
      <w:r w:rsidRPr="00BD7AFC">
        <w:rPr>
          <w:sz w:val="28"/>
          <w:szCs w:val="28"/>
        </w:rPr>
        <w:t>ственные учреждения, и дальше качественно  осуществлять функции и по</w:t>
      </w:r>
      <w:r w:rsidRPr="00BD7AFC">
        <w:rPr>
          <w:sz w:val="28"/>
          <w:szCs w:val="28"/>
        </w:rPr>
        <w:t>л</w:t>
      </w:r>
      <w:r w:rsidRPr="00BD7AFC">
        <w:rPr>
          <w:sz w:val="28"/>
          <w:szCs w:val="28"/>
        </w:rPr>
        <w:t>номочия учредителя в отношении муниципальных учреждений Новосели</w:t>
      </w:r>
      <w:r w:rsidRPr="00BD7AFC">
        <w:rPr>
          <w:sz w:val="28"/>
          <w:szCs w:val="28"/>
        </w:rPr>
        <w:t>ц</w:t>
      </w:r>
      <w:r w:rsidRPr="00BD7AFC">
        <w:rPr>
          <w:sz w:val="28"/>
          <w:szCs w:val="28"/>
        </w:rPr>
        <w:t>кого муниципального округа Ставропольского края для того, чтобы не сн</w:t>
      </w:r>
      <w:r w:rsidRPr="00BD7AFC">
        <w:rPr>
          <w:sz w:val="28"/>
          <w:szCs w:val="28"/>
        </w:rPr>
        <w:t>и</w:t>
      </w:r>
      <w:r w:rsidRPr="00BD7AFC">
        <w:rPr>
          <w:sz w:val="28"/>
          <w:szCs w:val="28"/>
        </w:rPr>
        <w:t>жать достигнутых значений. Вместе с тем необходимо</w:t>
      </w:r>
      <w:r>
        <w:rPr>
          <w:sz w:val="28"/>
          <w:szCs w:val="28"/>
        </w:rPr>
        <w:t xml:space="preserve"> в течение года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муниципального задания подведо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ственных учреждений, в случае необходимости своевременно вносить обо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нованные предложения по изменению объемов муниципального задания.</w:t>
      </w:r>
    </w:p>
    <w:p w:rsidR="00E859C0" w:rsidRPr="007D6D6B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pStyle w:val="af2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оценки направления </w:t>
      </w:r>
      <w:r w:rsidRPr="0071739D">
        <w:rPr>
          <w:sz w:val="28"/>
          <w:szCs w:val="28"/>
          <w:u w:val="single"/>
        </w:rPr>
        <w:t>соблюдение бюджетного законодател</w:t>
      </w:r>
      <w:r w:rsidRPr="0071739D">
        <w:rPr>
          <w:sz w:val="28"/>
          <w:szCs w:val="28"/>
          <w:u w:val="single"/>
        </w:rPr>
        <w:t>ь</w:t>
      </w:r>
      <w:r w:rsidRPr="0071739D">
        <w:rPr>
          <w:sz w:val="28"/>
          <w:szCs w:val="28"/>
          <w:u w:val="single"/>
        </w:rPr>
        <w:t>ства и осуществление внутреннего финансового контроля и внутреннего ф</w:t>
      </w:r>
      <w:r w:rsidRPr="0071739D">
        <w:rPr>
          <w:sz w:val="28"/>
          <w:szCs w:val="28"/>
          <w:u w:val="single"/>
        </w:rPr>
        <w:t>и</w:t>
      </w:r>
      <w:r w:rsidRPr="0071739D">
        <w:rPr>
          <w:sz w:val="28"/>
          <w:szCs w:val="28"/>
          <w:u w:val="single"/>
        </w:rPr>
        <w:t>нансового аудита</w:t>
      </w:r>
      <w:r>
        <w:rPr>
          <w:sz w:val="28"/>
          <w:szCs w:val="28"/>
        </w:rPr>
        <w:t xml:space="preserve"> использовались следующие показатели: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бюджетного законодательства, выявленные в ходе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контрольных мероприятий органом внутреннего муниципального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контроля;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предписаний (представлений), направленных ОМС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ном внутреннего муниципального финансового контроля;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организации внутреннего финансового контроля и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него финансового аудита.</w:t>
      </w:r>
    </w:p>
    <w:p w:rsidR="00E859C0" w:rsidRPr="00BD7AFC" w:rsidRDefault="00E859C0" w:rsidP="00E859C0">
      <w:pPr>
        <w:ind w:firstLine="709"/>
        <w:jc w:val="both"/>
        <w:rPr>
          <w:sz w:val="28"/>
          <w:szCs w:val="28"/>
        </w:rPr>
      </w:pPr>
      <w:r w:rsidRPr="0071739D">
        <w:rPr>
          <w:sz w:val="28"/>
          <w:szCs w:val="28"/>
        </w:rPr>
        <w:t>По сравнению с оценкой за 202</w:t>
      </w:r>
      <w:r>
        <w:rPr>
          <w:sz w:val="28"/>
          <w:szCs w:val="28"/>
        </w:rPr>
        <w:t>1</w:t>
      </w:r>
      <w:r w:rsidRPr="0071739D">
        <w:rPr>
          <w:sz w:val="28"/>
          <w:szCs w:val="28"/>
        </w:rPr>
        <w:t xml:space="preserve"> год по данному направлению </w:t>
      </w:r>
      <w:r>
        <w:rPr>
          <w:sz w:val="28"/>
          <w:szCs w:val="28"/>
        </w:rPr>
        <w:t xml:space="preserve">ухудшил </w:t>
      </w:r>
      <w:r w:rsidRPr="0071739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ТО</w:t>
      </w:r>
      <w:r w:rsidRPr="0071739D">
        <w:rPr>
          <w:sz w:val="28"/>
          <w:szCs w:val="28"/>
        </w:rPr>
        <w:t xml:space="preserve"> АНМО СК</w:t>
      </w:r>
      <w:r>
        <w:rPr>
          <w:sz w:val="28"/>
          <w:szCs w:val="28"/>
        </w:rPr>
        <w:t xml:space="preserve"> в селе Падинском</w:t>
      </w:r>
      <w:r w:rsidRPr="0071739D">
        <w:rPr>
          <w:sz w:val="28"/>
          <w:szCs w:val="28"/>
        </w:rPr>
        <w:t xml:space="preserve"> (с 0,</w:t>
      </w:r>
      <w:r>
        <w:rPr>
          <w:sz w:val="28"/>
          <w:szCs w:val="28"/>
        </w:rPr>
        <w:t>83 до 0,67</w:t>
      </w:r>
      <w:r w:rsidRPr="00BD7AFC">
        <w:rPr>
          <w:sz w:val="28"/>
          <w:szCs w:val="28"/>
        </w:rPr>
        <w:t>), вследствие пр</w:t>
      </w:r>
      <w:r w:rsidRPr="00BD7AFC">
        <w:rPr>
          <w:sz w:val="28"/>
          <w:szCs w:val="28"/>
        </w:rPr>
        <w:t>о</w:t>
      </w:r>
      <w:r w:rsidRPr="00BD7AFC">
        <w:rPr>
          <w:sz w:val="28"/>
          <w:szCs w:val="28"/>
        </w:rPr>
        <w:t>верки в сфере закупок в 2022 году.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Итоговые результаты ОМС по показателям, входящим</w:t>
      </w:r>
      <w:r>
        <w:rPr>
          <w:sz w:val="28"/>
          <w:szCs w:val="28"/>
        </w:rPr>
        <w:t xml:space="preserve"> в пятое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ниже: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0884BF" wp14:editId="3BD94C2F">
            <wp:extent cx="6122505" cy="4683318"/>
            <wp:effectExtent l="0" t="0" r="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859C0" w:rsidRPr="00A8601C" w:rsidRDefault="00E859C0" w:rsidP="00E859C0">
      <w:pPr>
        <w:ind w:firstLine="709"/>
        <w:jc w:val="both"/>
        <w:rPr>
          <w:sz w:val="28"/>
          <w:szCs w:val="28"/>
        </w:rPr>
      </w:pPr>
      <w:r w:rsidRPr="00BD7AFC">
        <w:rPr>
          <w:sz w:val="28"/>
          <w:szCs w:val="28"/>
        </w:rPr>
        <w:t>Для повышения итоговой оценки по данному направлению рекоменд</w:t>
      </w:r>
      <w:r w:rsidRPr="00BD7AFC">
        <w:rPr>
          <w:sz w:val="28"/>
          <w:szCs w:val="28"/>
        </w:rPr>
        <w:t>у</w:t>
      </w:r>
      <w:r w:rsidRPr="00BD7AFC">
        <w:rPr>
          <w:sz w:val="28"/>
          <w:szCs w:val="28"/>
        </w:rPr>
        <w:t>ем главным распорядителям бюджетных сре</w:t>
      </w:r>
      <w:proofErr w:type="gramStart"/>
      <w:r w:rsidRPr="00BD7AFC">
        <w:rPr>
          <w:sz w:val="28"/>
          <w:szCs w:val="28"/>
        </w:rPr>
        <w:t>дств св</w:t>
      </w:r>
      <w:proofErr w:type="gramEnd"/>
      <w:r w:rsidRPr="00BD7AFC">
        <w:rPr>
          <w:sz w:val="28"/>
          <w:szCs w:val="28"/>
        </w:rPr>
        <w:t>оевременно отслеживать изменения действующего законодательства в целях не допущения его нар</w:t>
      </w:r>
      <w:r w:rsidRPr="00BD7AFC">
        <w:rPr>
          <w:sz w:val="28"/>
          <w:szCs w:val="28"/>
        </w:rPr>
        <w:t>у</w:t>
      </w:r>
      <w:r w:rsidRPr="00BD7AFC">
        <w:rPr>
          <w:sz w:val="28"/>
          <w:szCs w:val="28"/>
        </w:rPr>
        <w:t>шений.</w:t>
      </w:r>
      <w:r>
        <w:rPr>
          <w:sz w:val="28"/>
          <w:szCs w:val="28"/>
        </w:rPr>
        <w:t xml:space="preserve"> 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проведенного мониторинга финансового менеджмента за 2022 год составлен итоговый рейтинг органов местного самоуправления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воселицкого муниципального округа Ставропольского края в разрезе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чия подведомственных учреждений: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1F80E4" wp14:editId="20A06739">
            <wp:extent cx="5685183" cy="3959749"/>
            <wp:effectExtent l="0" t="0" r="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Default="00E859C0" w:rsidP="00E85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самоуправлению, имеющие подведомственные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ждения:</w:t>
      </w:r>
    </w:p>
    <w:p w:rsidR="00E859C0" w:rsidRDefault="00E859C0" w:rsidP="00E859C0">
      <w:pPr>
        <w:ind w:firstLine="709"/>
        <w:jc w:val="both"/>
        <w:rPr>
          <w:sz w:val="28"/>
          <w:szCs w:val="28"/>
        </w:rPr>
      </w:pPr>
    </w:p>
    <w:p w:rsidR="00E859C0" w:rsidRPr="007E48EF" w:rsidRDefault="00E859C0" w:rsidP="00E859C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A484F3" wp14:editId="738D5A22">
            <wp:extent cx="5550011" cy="2719346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0007B" w:rsidRPr="00EB3529" w:rsidRDefault="0070007B" w:rsidP="00A373BB">
      <w:pPr>
        <w:jc w:val="center"/>
        <w:rPr>
          <w:sz w:val="28"/>
          <w:szCs w:val="28"/>
        </w:rPr>
      </w:pPr>
    </w:p>
    <w:sectPr w:rsidR="0070007B" w:rsidRPr="00EB3529" w:rsidSect="0022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DE" w:rsidRDefault="004963DE" w:rsidP="00A27685">
      <w:r>
        <w:separator/>
      </w:r>
    </w:p>
  </w:endnote>
  <w:endnote w:type="continuationSeparator" w:id="0">
    <w:p w:rsidR="004963DE" w:rsidRDefault="004963DE" w:rsidP="00A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DE" w:rsidRDefault="004963DE" w:rsidP="00A27685">
      <w:r>
        <w:separator/>
      </w:r>
    </w:p>
  </w:footnote>
  <w:footnote w:type="continuationSeparator" w:id="0">
    <w:p w:rsidR="004963DE" w:rsidRDefault="004963DE" w:rsidP="00A2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DE" w:rsidRDefault="004963DE">
    <w:pPr>
      <w:pStyle w:val="ad"/>
    </w:pPr>
  </w:p>
  <w:p w:rsidR="004963DE" w:rsidRDefault="004963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2E4"/>
    <w:multiLevelType w:val="hybridMultilevel"/>
    <w:tmpl w:val="03DED42C"/>
    <w:lvl w:ilvl="0" w:tplc="3BBAA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73B74"/>
    <w:multiLevelType w:val="hybridMultilevel"/>
    <w:tmpl w:val="7932E778"/>
    <w:lvl w:ilvl="0" w:tplc="53A676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03F13"/>
    <w:multiLevelType w:val="hybridMultilevel"/>
    <w:tmpl w:val="150CC218"/>
    <w:lvl w:ilvl="0" w:tplc="5EF43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308A6"/>
    <w:multiLevelType w:val="hybridMultilevel"/>
    <w:tmpl w:val="090A33B8"/>
    <w:lvl w:ilvl="0" w:tplc="C91CC5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2D60DB"/>
    <w:multiLevelType w:val="hybridMultilevel"/>
    <w:tmpl w:val="DCBEDE02"/>
    <w:lvl w:ilvl="0" w:tplc="73B68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9039D"/>
    <w:multiLevelType w:val="hybridMultilevel"/>
    <w:tmpl w:val="76308B70"/>
    <w:lvl w:ilvl="0" w:tplc="3DC29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5C076B"/>
    <w:multiLevelType w:val="hybridMultilevel"/>
    <w:tmpl w:val="DE38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E203F"/>
    <w:multiLevelType w:val="hybridMultilevel"/>
    <w:tmpl w:val="CEC844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516DE"/>
    <w:multiLevelType w:val="hybridMultilevel"/>
    <w:tmpl w:val="BE2ACE56"/>
    <w:lvl w:ilvl="0" w:tplc="630AF18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F77C5"/>
    <w:multiLevelType w:val="hybridMultilevel"/>
    <w:tmpl w:val="10748434"/>
    <w:lvl w:ilvl="0" w:tplc="AD2AD19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47"/>
    <w:rsid w:val="00001660"/>
    <w:rsid w:val="00001EC4"/>
    <w:rsid w:val="00010C71"/>
    <w:rsid w:val="0001300F"/>
    <w:rsid w:val="0001450C"/>
    <w:rsid w:val="00022DE8"/>
    <w:rsid w:val="00027FC4"/>
    <w:rsid w:val="00030D9E"/>
    <w:rsid w:val="00033E0A"/>
    <w:rsid w:val="000367DE"/>
    <w:rsid w:val="000374BE"/>
    <w:rsid w:val="00043486"/>
    <w:rsid w:val="00044EB9"/>
    <w:rsid w:val="00054A4C"/>
    <w:rsid w:val="00055598"/>
    <w:rsid w:val="000559D7"/>
    <w:rsid w:val="00060404"/>
    <w:rsid w:val="00060E20"/>
    <w:rsid w:val="00064A83"/>
    <w:rsid w:val="00066923"/>
    <w:rsid w:val="000773BB"/>
    <w:rsid w:val="0008353C"/>
    <w:rsid w:val="00084DE9"/>
    <w:rsid w:val="000A01FC"/>
    <w:rsid w:val="000A2218"/>
    <w:rsid w:val="000A4155"/>
    <w:rsid w:val="000A41AD"/>
    <w:rsid w:val="000A43FC"/>
    <w:rsid w:val="000A6241"/>
    <w:rsid w:val="000B1A19"/>
    <w:rsid w:val="000B5998"/>
    <w:rsid w:val="000B66EE"/>
    <w:rsid w:val="000C060C"/>
    <w:rsid w:val="000C3FA2"/>
    <w:rsid w:val="000C6CAB"/>
    <w:rsid w:val="000D2D84"/>
    <w:rsid w:val="000D44A2"/>
    <w:rsid w:val="000D7544"/>
    <w:rsid w:val="000E393A"/>
    <w:rsid w:val="000E70B1"/>
    <w:rsid w:val="000E77DA"/>
    <w:rsid w:val="0010091B"/>
    <w:rsid w:val="00101812"/>
    <w:rsid w:val="00101C50"/>
    <w:rsid w:val="001023EC"/>
    <w:rsid w:val="00102CCA"/>
    <w:rsid w:val="00111A18"/>
    <w:rsid w:val="00112F57"/>
    <w:rsid w:val="001167F1"/>
    <w:rsid w:val="00137456"/>
    <w:rsid w:val="00137873"/>
    <w:rsid w:val="00144B3E"/>
    <w:rsid w:val="001515B1"/>
    <w:rsid w:val="00156D1A"/>
    <w:rsid w:val="001570D6"/>
    <w:rsid w:val="001651B9"/>
    <w:rsid w:val="00172135"/>
    <w:rsid w:val="00172A34"/>
    <w:rsid w:val="00175F02"/>
    <w:rsid w:val="001775C0"/>
    <w:rsid w:val="001811EF"/>
    <w:rsid w:val="001816D5"/>
    <w:rsid w:val="0019450C"/>
    <w:rsid w:val="001A051A"/>
    <w:rsid w:val="001A4A9D"/>
    <w:rsid w:val="001A4B2D"/>
    <w:rsid w:val="001A4C91"/>
    <w:rsid w:val="001A65D1"/>
    <w:rsid w:val="001B3669"/>
    <w:rsid w:val="001B56E0"/>
    <w:rsid w:val="001B5ADE"/>
    <w:rsid w:val="001B7704"/>
    <w:rsid w:val="001C0147"/>
    <w:rsid w:val="001C2421"/>
    <w:rsid w:val="001C30FF"/>
    <w:rsid w:val="001C65F4"/>
    <w:rsid w:val="001D04DE"/>
    <w:rsid w:val="001D552B"/>
    <w:rsid w:val="001E0074"/>
    <w:rsid w:val="001E4EFA"/>
    <w:rsid w:val="001F2DD2"/>
    <w:rsid w:val="001F3404"/>
    <w:rsid w:val="001F7DD7"/>
    <w:rsid w:val="00202317"/>
    <w:rsid w:val="002066FB"/>
    <w:rsid w:val="00210E47"/>
    <w:rsid w:val="00211853"/>
    <w:rsid w:val="00223E28"/>
    <w:rsid w:val="002315D0"/>
    <w:rsid w:val="00233D26"/>
    <w:rsid w:val="002343EA"/>
    <w:rsid w:val="00234F05"/>
    <w:rsid w:val="00235173"/>
    <w:rsid w:val="002357DF"/>
    <w:rsid w:val="00237099"/>
    <w:rsid w:val="002426E5"/>
    <w:rsid w:val="00242FFE"/>
    <w:rsid w:val="00253AB4"/>
    <w:rsid w:val="002614C5"/>
    <w:rsid w:val="00261DF6"/>
    <w:rsid w:val="00265957"/>
    <w:rsid w:val="00265D4D"/>
    <w:rsid w:val="00266812"/>
    <w:rsid w:val="00267DBD"/>
    <w:rsid w:val="002709A7"/>
    <w:rsid w:val="0027107D"/>
    <w:rsid w:val="0027280D"/>
    <w:rsid w:val="00282C8D"/>
    <w:rsid w:val="00290C24"/>
    <w:rsid w:val="002933E4"/>
    <w:rsid w:val="002A386E"/>
    <w:rsid w:val="002A455F"/>
    <w:rsid w:val="002A5B19"/>
    <w:rsid w:val="002A7619"/>
    <w:rsid w:val="002B4CD4"/>
    <w:rsid w:val="002B7411"/>
    <w:rsid w:val="002C3B8C"/>
    <w:rsid w:val="002C43CD"/>
    <w:rsid w:val="002C7074"/>
    <w:rsid w:val="002D09B7"/>
    <w:rsid w:val="002D7A4C"/>
    <w:rsid w:val="002E4454"/>
    <w:rsid w:val="002E70AC"/>
    <w:rsid w:val="002F076E"/>
    <w:rsid w:val="002F1F3B"/>
    <w:rsid w:val="002F2AA5"/>
    <w:rsid w:val="00301487"/>
    <w:rsid w:val="003028CA"/>
    <w:rsid w:val="00306AC0"/>
    <w:rsid w:val="00311708"/>
    <w:rsid w:val="00311796"/>
    <w:rsid w:val="003154DB"/>
    <w:rsid w:val="00315956"/>
    <w:rsid w:val="00316615"/>
    <w:rsid w:val="00327D6F"/>
    <w:rsid w:val="0033747E"/>
    <w:rsid w:val="00337B85"/>
    <w:rsid w:val="00337D73"/>
    <w:rsid w:val="003402A6"/>
    <w:rsid w:val="00346716"/>
    <w:rsid w:val="00352DCC"/>
    <w:rsid w:val="00356F42"/>
    <w:rsid w:val="0036081B"/>
    <w:rsid w:val="00362C31"/>
    <w:rsid w:val="003647C8"/>
    <w:rsid w:val="00370CF6"/>
    <w:rsid w:val="00372390"/>
    <w:rsid w:val="00375943"/>
    <w:rsid w:val="00381656"/>
    <w:rsid w:val="003842AF"/>
    <w:rsid w:val="003850B2"/>
    <w:rsid w:val="0038662D"/>
    <w:rsid w:val="0038737D"/>
    <w:rsid w:val="003934C5"/>
    <w:rsid w:val="003958F8"/>
    <w:rsid w:val="003A5AD6"/>
    <w:rsid w:val="003A699D"/>
    <w:rsid w:val="003B17C9"/>
    <w:rsid w:val="003B5385"/>
    <w:rsid w:val="003C353C"/>
    <w:rsid w:val="003D4AAD"/>
    <w:rsid w:val="003D5F64"/>
    <w:rsid w:val="003E15A9"/>
    <w:rsid w:val="003F1539"/>
    <w:rsid w:val="003F1811"/>
    <w:rsid w:val="00401112"/>
    <w:rsid w:val="0040672E"/>
    <w:rsid w:val="0040740E"/>
    <w:rsid w:val="00412376"/>
    <w:rsid w:val="00415256"/>
    <w:rsid w:val="00420200"/>
    <w:rsid w:val="00425390"/>
    <w:rsid w:val="00427D46"/>
    <w:rsid w:val="00431E35"/>
    <w:rsid w:val="00437ACF"/>
    <w:rsid w:val="0045031B"/>
    <w:rsid w:val="00462366"/>
    <w:rsid w:val="00481C22"/>
    <w:rsid w:val="004940D7"/>
    <w:rsid w:val="004963DE"/>
    <w:rsid w:val="004A3C13"/>
    <w:rsid w:val="004B7FD1"/>
    <w:rsid w:val="004C683F"/>
    <w:rsid w:val="004C76B7"/>
    <w:rsid w:val="004D127E"/>
    <w:rsid w:val="004D1D65"/>
    <w:rsid w:val="004D1DBB"/>
    <w:rsid w:val="004D64AD"/>
    <w:rsid w:val="004F05BB"/>
    <w:rsid w:val="004F4852"/>
    <w:rsid w:val="004F64BE"/>
    <w:rsid w:val="00501421"/>
    <w:rsid w:val="00507221"/>
    <w:rsid w:val="00515923"/>
    <w:rsid w:val="005212A3"/>
    <w:rsid w:val="005215F6"/>
    <w:rsid w:val="00521AC5"/>
    <w:rsid w:val="00531EC4"/>
    <w:rsid w:val="00536786"/>
    <w:rsid w:val="00536F2A"/>
    <w:rsid w:val="00543C88"/>
    <w:rsid w:val="00550B97"/>
    <w:rsid w:val="00551210"/>
    <w:rsid w:val="00551AD2"/>
    <w:rsid w:val="005601C1"/>
    <w:rsid w:val="00565566"/>
    <w:rsid w:val="00585EC0"/>
    <w:rsid w:val="00591ED5"/>
    <w:rsid w:val="00596482"/>
    <w:rsid w:val="005A4F6C"/>
    <w:rsid w:val="005B2691"/>
    <w:rsid w:val="005C2437"/>
    <w:rsid w:val="005C50DF"/>
    <w:rsid w:val="005C5D7E"/>
    <w:rsid w:val="005C7496"/>
    <w:rsid w:val="005D1D71"/>
    <w:rsid w:val="005D257F"/>
    <w:rsid w:val="005D46E4"/>
    <w:rsid w:val="005E08E4"/>
    <w:rsid w:val="005E1F1B"/>
    <w:rsid w:val="005F37BE"/>
    <w:rsid w:val="005F3D06"/>
    <w:rsid w:val="005F525B"/>
    <w:rsid w:val="005F612E"/>
    <w:rsid w:val="006010A7"/>
    <w:rsid w:val="00607EE0"/>
    <w:rsid w:val="00615784"/>
    <w:rsid w:val="0061597E"/>
    <w:rsid w:val="0062620B"/>
    <w:rsid w:val="00630229"/>
    <w:rsid w:val="00630AB3"/>
    <w:rsid w:val="00632940"/>
    <w:rsid w:val="00634588"/>
    <w:rsid w:val="00637162"/>
    <w:rsid w:val="00637D13"/>
    <w:rsid w:val="0064063C"/>
    <w:rsid w:val="00643189"/>
    <w:rsid w:val="00643A33"/>
    <w:rsid w:val="006456E1"/>
    <w:rsid w:val="00652D5F"/>
    <w:rsid w:val="0066006C"/>
    <w:rsid w:val="00664348"/>
    <w:rsid w:val="00675C8F"/>
    <w:rsid w:val="00685F1B"/>
    <w:rsid w:val="00686D2C"/>
    <w:rsid w:val="00694C2E"/>
    <w:rsid w:val="006966EA"/>
    <w:rsid w:val="006978AE"/>
    <w:rsid w:val="00697C7C"/>
    <w:rsid w:val="006A17D9"/>
    <w:rsid w:val="006A6BBC"/>
    <w:rsid w:val="006B25B6"/>
    <w:rsid w:val="006B6CB8"/>
    <w:rsid w:val="006C168F"/>
    <w:rsid w:val="006C26B1"/>
    <w:rsid w:val="006C3457"/>
    <w:rsid w:val="006C46D3"/>
    <w:rsid w:val="006D4EA9"/>
    <w:rsid w:val="006E0722"/>
    <w:rsid w:val="006E324C"/>
    <w:rsid w:val="006E4681"/>
    <w:rsid w:val="006E57B0"/>
    <w:rsid w:val="006E60EA"/>
    <w:rsid w:val="006E77E1"/>
    <w:rsid w:val="006F1D40"/>
    <w:rsid w:val="006F2CD6"/>
    <w:rsid w:val="006F6154"/>
    <w:rsid w:val="006F706B"/>
    <w:rsid w:val="0070007B"/>
    <w:rsid w:val="007017BD"/>
    <w:rsid w:val="00701CF8"/>
    <w:rsid w:val="007041E2"/>
    <w:rsid w:val="0071048C"/>
    <w:rsid w:val="00711626"/>
    <w:rsid w:val="00713432"/>
    <w:rsid w:val="00716C15"/>
    <w:rsid w:val="007269E3"/>
    <w:rsid w:val="0073504A"/>
    <w:rsid w:val="00735305"/>
    <w:rsid w:val="007426C2"/>
    <w:rsid w:val="00746E48"/>
    <w:rsid w:val="00760D6D"/>
    <w:rsid w:val="00761569"/>
    <w:rsid w:val="007771E0"/>
    <w:rsid w:val="0078313B"/>
    <w:rsid w:val="007856E7"/>
    <w:rsid w:val="00792E1F"/>
    <w:rsid w:val="007A12CD"/>
    <w:rsid w:val="007A5D4A"/>
    <w:rsid w:val="007B45BC"/>
    <w:rsid w:val="007B5948"/>
    <w:rsid w:val="007C4E41"/>
    <w:rsid w:val="007C7269"/>
    <w:rsid w:val="007D211C"/>
    <w:rsid w:val="007D5B4D"/>
    <w:rsid w:val="007D71FA"/>
    <w:rsid w:val="007E5B11"/>
    <w:rsid w:val="007F040A"/>
    <w:rsid w:val="007F0D37"/>
    <w:rsid w:val="007F3935"/>
    <w:rsid w:val="007F767C"/>
    <w:rsid w:val="008008DC"/>
    <w:rsid w:val="00803AD5"/>
    <w:rsid w:val="00812411"/>
    <w:rsid w:val="00815A51"/>
    <w:rsid w:val="0081698C"/>
    <w:rsid w:val="00817C4D"/>
    <w:rsid w:val="00820EAF"/>
    <w:rsid w:val="00822192"/>
    <w:rsid w:val="00823C1E"/>
    <w:rsid w:val="00833FDB"/>
    <w:rsid w:val="0083695F"/>
    <w:rsid w:val="00840B50"/>
    <w:rsid w:val="00843AF9"/>
    <w:rsid w:val="00845FE2"/>
    <w:rsid w:val="00855EE2"/>
    <w:rsid w:val="00856E73"/>
    <w:rsid w:val="00856EF1"/>
    <w:rsid w:val="00857055"/>
    <w:rsid w:val="008607E6"/>
    <w:rsid w:val="008616E5"/>
    <w:rsid w:val="008619AD"/>
    <w:rsid w:val="00861CF6"/>
    <w:rsid w:val="00862525"/>
    <w:rsid w:val="008702D1"/>
    <w:rsid w:val="00872514"/>
    <w:rsid w:val="00872968"/>
    <w:rsid w:val="0087769A"/>
    <w:rsid w:val="00882B2F"/>
    <w:rsid w:val="00882FE2"/>
    <w:rsid w:val="008862F9"/>
    <w:rsid w:val="0088732B"/>
    <w:rsid w:val="008A45D3"/>
    <w:rsid w:val="008A5334"/>
    <w:rsid w:val="008B20CF"/>
    <w:rsid w:val="008B40FB"/>
    <w:rsid w:val="008B67D9"/>
    <w:rsid w:val="008C248A"/>
    <w:rsid w:val="008C6C28"/>
    <w:rsid w:val="008C719C"/>
    <w:rsid w:val="008D00C4"/>
    <w:rsid w:val="008D0F8C"/>
    <w:rsid w:val="008E1FCF"/>
    <w:rsid w:val="008E55AD"/>
    <w:rsid w:val="008E5C16"/>
    <w:rsid w:val="008E742C"/>
    <w:rsid w:val="008E7647"/>
    <w:rsid w:val="008F09F2"/>
    <w:rsid w:val="008F1636"/>
    <w:rsid w:val="008F1835"/>
    <w:rsid w:val="008F53A5"/>
    <w:rsid w:val="00910097"/>
    <w:rsid w:val="0093122A"/>
    <w:rsid w:val="0093405B"/>
    <w:rsid w:val="00941ED0"/>
    <w:rsid w:val="00947E47"/>
    <w:rsid w:val="009561FB"/>
    <w:rsid w:val="00962A37"/>
    <w:rsid w:val="00967BBF"/>
    <w:rsid w:val="009718C1"/>
    <w:rsid w:val="00983396"/>
    <w:rsid w:val="009859B1"/>
    <w:rsid w:val="00985B5C"/>
    <w:rsid w:val="0099150D"/>
    <w:rsid w:val="0099462D"/>
    <w:rsid w:val="009B04C2"/>
    <w:rsid w:val="009B706A"/>
    <w:rsid w:val="009C25D0"/>
    <w:rsid w:val="009C6600"/>
    <w:rsid w:val="009C7AEE"/>
    <w:rsid w:val="009D1E00"/>
    <w:rsid w:val="009E2D43"/>
    <w:rsid w:val="009F3F69"/>
    <w:rsid w:val="00A00422"/>
    <w:rsid w:val="00A00F70"/>
    <w:rsid w:val="00A016C5"/>
    <w:rsid w:val="00A019F9"/>
    <w:rsid w:val="00A01B68"/>
    <w:rsid w:val="00A037DC"/>
    <w:rsid w:val="00A12943"/>
    <w:rsid w:val="00A15857"/>
    <w:rsid w:val="00A158C2"/>
    <w:rsid w:val="00A16D49"/>
    <w:rsid w:val="00A2587B"/>
    <w:rsid w:val="00A27685"/>
    <w:rsid w:val="00A31E39"/>
    <w:rsid w:val="00A373BB"/>
    <w:rsid w:val="00A3782C"/>
    <w:rsid w:val="00A448D2"/>
    <w:rsid w:val="00A44F86"/>
    <w:rsid w:val="00A46C04"/>
    <w:rsid w:val="00A50069"/>
    <w:rsid w:val="00A533EB"/>
    <w:rsid w:val="00A63ADC"/>
    <w:rsid w:val="00A644B9"/>
    <w:rsid w:val="00A66D8C"/>
    <w:rsid w:val="00A719FD"/>
    <w:rsid w:val="00A75684"/>
    <w:rsid w:val="00A76A94"/>
    <w:rsid w:val="00A82F7F"/>
    <w:rsid w:val="00A8429C"/>
    <w:rsid w:val="00A84A2E"/>
    <w:rsid w:val="00A85E47"/>
    <w:rsid w:val="00A86841"/>
    <w:rsid w:val="00A9057E"/>
    <w:rsid w:val="00A907B8"/>
    <w:rsid w:val="00A90929"/>
    <w:rsid w:val="00A9194A"/>
    <w:rsid w:val="00A97214"/>
    <w:rsid w:val="00A97801"/>
    <w:rsid w:val="00AA68DA"/>
    <w:rsid w:val="00AB3BBF"/>
    <w:rsid w:val="00AB56D0"/>
    <w:rsid w:val="00AB6514"/>
    <w:rsid w:val="00AC5A94"/>
    <w:rsid w:val="00AD6BFE"/>
    <w:rsid w:val="00AE0152"/>
    <w:rsid w:val="00AE3731"/>
    <w:rsid w:val="00AE4D80"/>
    <w:rsid w:val="00AE5F2B"/>
    <w:rsid w:val="00AF0D10"/>
    <w:rsid w:val="00AF110F"/>
    <w:rsid w:val="00AF34F5"/>
    <w:rsid w:val="00AF479A"/>
    <w:rsid w:val="00AF496D"/>
    <w:rsid w:val="00AF7030"/>
    <w:rsid w:val="00B10283"/>
    <w:rsid w:val="00B148BB"/>
    <w:rsid w:val="00B2119B"/>
    <w:rsid w:val="00B30CAF"/>
    <w:rsid w:val="00B30DC6"/>
    <w:rsid w:val="00B32333"/>
    <w:rsid w:val="00B365FE"/>
    <w:rsid w:val="00B42BC4"/>
    <w:rsid w:val="00B4460E"/>
    <w:rsid w:val="00B47BAF"/>
    <w:rsid w:val="00B704BA"/>
    <w:rsid w:val="00B73397"/>
    <w:rsid w:val="00B75244"/>
    <w:rsid w:val="00B752C2"/>
    <w:rsid w:val="00B80295"/>
    <w:rsid w:val="00B83D60"/>
    <w:rsid w:val="00B8676F"/>
    <w:rsid w:val="00B96CF3"/>
    <w:rsid w:val="00BA23D7"/>
    <w:rsid w:val="00BB44C8"/>
    <w:rsid w:val="00BC301D"/>
    <w:rsid w:val="00BC3BBB"/>
    <w:rsid w:val="00BD400E"/>
    <w:rsid w:val="00BE2FDD"/>
    <w:rsid w:val="00BF056C"/>
    <w:rsid w:val="00BF53B4"/>
    <w:rsid w:val="00BF5ACB"/>
    <w:rsid w:val="00BF7D75"/>
    <w:rsid w:val="00C020CC"/>
    <w:rsid w:val="00C03017"/>
    <w:rsid w:val="00C0387C"/>
    <w:rsid w:val="00C05A00"/>
    <w:rsid w:val="00C06B45"/>
    <w:rsid w:val="00C072CB"/>
    <w:rsid w:val="00C162DD"/>
    <w:rsid w:val="00C202B9"/>
    <w:rsid w:val="00C22F16"/>
    <w:rsid w:val="00C24915"/>
    <w:rsid w:val="00C25AB7"/>
    <w:rsid w:val="00C33350"/>
    <w:rsid w:val="00C3457A"/>
    <w:rsid w:val="00C378B3"/>
    <w:rsid w:val="00C475E4"/>
    <w:rsid w:val="00C47839"/>
    <w:rsid w:val="00C63F02"/>
    <w:rsid w:val="00C6531D"/>
    <w:rsid w:val="00C67DAF"/>
    <w:rsid w:val="00C71A89"/>
    <w:rsid w:val="00C74E31"/>
    <w:rsid w:val="00C77C0C"/>
    <w:rsid w:val="00C87A65"/>
    <w:rsid w:val="00C925B5"/>
    <w:rsid w:val="00CA2582"/>
    <w:rsid w:val="00CA265A"/>
    <w:rsid w:val="00CA3E67"/>
    <w:rsid w:val="00CA52FE"/>
    <w:rsid w:val="00CA5ECC"/>
    <w:rsid w:val="00CA79DE"/>
    <w:rsid w:val="00CB05F2"/>
    <w:rsid w:val="00CB1B56"/>
    <w:rsid w:val="00CB50F1"/>
    <w:rsid w:val="00CD48C7"/>
    <w:rsid w:val="00CD79E4"/>
    <w:rsid w:val="00CE0094"/>
    <w:rsid w:val="00CE5658"/>
    <w:rsid w:val="00CE7057"/>
    <w:rsid w:val="00CF4BE9"/>
    <w:rsid w:val="00CF736A"/>
    <w:rsid w:val="00D02433"/>
    <w:rsid w:val="00D05004"/>
    <w:rsid w:val="00D06E4A"/>
    <w:rsid w:val="00D1113F"/>
    <w:rsid w:val="00D13A51"/>
    <w:rsid w:val="00D2106C"/>
    <w:rsid w:val="00D2641C"/>
    <w:rsid w:val="00D274B1"/>
    <w:rsid w:val="00D3347F"/>
    <w:rsid w:val="00D44324"/>
    <w:rsid w:val="00D4630B"/>
    <w:rsid w:val="00D5181C"/>
    <w:rsid w:val="00D54F8F"/>
    <w:rsid w:val="00D56554"/>
    <w:rsid w:val="00D64518"/>
    <w:rsid w:val="00D651B7"/>
    <w:rsid w:val="00D67C0E"/>
    <w:rsid w:val="00D715C8"/>
    <w:rsid w:val="00D818DB"/>
    <w:rsid w:val="00D84990"/>
    <w:rsid w:val="00D84D3E"/>
    <w:rsid w:val="00D936C4"/>
    <w:rsid w:val="00DA0AD8"/>
    <w:rsid w:val="00DA7937"/>
    <w:rsid w:val="00DB29B3"/>
    <w:rsid w:val="00DB5ACE"/>
    <w:rsid w:val="00DC3467"/>
    <w:rsid w:val="00DC7BF2"/>
    <w:rsid w:val="00DD1119"/>
    <w:rsid w:val="00DD4C8C"/>
    <w:rsid w:val="00DE6CA1"/>
    <w:rsid w:val="00DF02EE"/>
    <w:rsid w:val="00DF2D93"/>
    <w:rsid w:val="00DF6023"/>
    <w:rsid w:val="00DF63A3"/>
    <w:rsid w:val="00E01EA1"/>
    <w:rsid w:val="00E027B2"/>
    <w:rsid w:val="00E063B3"/>
    <w:rsid w:val="00E06DF7"/>
    <w:rsid w:val="00E108CD"/>
    <w:rsid w:val="00E119B0"/>
    <w:rsid w:val="00E1613B"/>
    <w:rsid w:val="00E17CBC"/>
    <w:rsid w:val="00E23EC3"/>
    <w:rsid w:val="00E2536A"/>
    <w:rsid w:val="00E27188"/>
    <w:rsid w:val="00E27F1A"/>
    <w:rsid w:val="00E27F6F"/>
    <w:rsid w:val="00E31E9E"/>
    <w:rsid w:val="00E31F27"/>
    <w:rsid w:val="00E32A5E"/>
    <w:rsid w:val="00E37D15"/>
    <w:rsid w:val="00E42C02"/>
    <w:rsid w:val="00E55610"/>
    <w:rsid w:val="00E6360C"/>
    <w:rsid w:val="00E7163D"/>
    <w:rsid w:val="00E841A2"/>
    <w:rsid w:val="00E859C0"/>
    <w:rsid w:val="00E85E18"/>
    <w:rsid w:val="00E876A0"/>
    <w:rsid w:val="00E93B1D"/>
    <w:rsid w:val="00EA0C01"/>
    <w:rsid w:val="00EA2A05"/>
    <w:rsid w:val="00EA364B"/>
    <w:rsid w:val="00EA3973"/>
    <w:rsid w:val="00EA5469"/>
    <w:rsid w:val="00EB2ECC"/>
    <w:rsid w:val="00EB3529"/>
    <w:rsid w:val="00EB4953"/>
    <w:rsid w:val="00EC220B"/>
    <w:rsid w:val="00EC49E6"/>
    <w:rsid w:val="00EC7293"/>
    <w:rsid w:val="00ED0609"/>
    <w:rsid w:val="00ED5F85"/>
    <w:rsid w:val="00ED6879"/>
    <w:rsid w:val="00ED78C2"/>
    <w:rsid w:val="00EF2D99"/>
    <w:rsid w:val="00EF353A"/>
    <w:rsid w:val="00EF3600"/>
    <w:rsid w:val="00F016ED"/>
    <w:rsid w:val="00F01C7D"/>
    <w:rsid w:val="00F03AFE"/>
    <w:rsid w:val="00F111FA"/>
    <w:rsid w:val="00F148D6"/>
    <w:rsid w:val="00F1596A"/>
    <w:rsid w:val="00F17A42"/>
    <w:rsid w:val="00F21C8E"/>
    <w:rsid w:val="00F265CC"/>
    <w:rsid w:val="00F4011B"/>
    <w:rsid w:val="00F51118"/>
    <w:rsid w:val="00F519C7"/>
    <w:rsid w:val="00F532D6"/>
    <w:rsid w:val="00F533B7"/>
    <w:rsid w:val="00F56984"/>
    <w:rsid w:val="00F60114"/>
    <w:rsid w:val="00F67DA3"/>
    <w:rsid w:val="00F70419"/>
    <w:rsid w:val="00F70D5D"/>
    <w:rsid w:val="00F810CC"/>
    <w:rsid w:val="00F83F54"/>
    <w:rsid w:val="00F855B3"/>
    <w:rsid w:val="00F940AD"/>
    <w:rsid w:val="00FA233E"/>
    <w:rsid w:val="00FB555B"/>
    <w:rsid w:val="00FB7470"/>
    <w:rsid w:val="00FC0887"/>
    <w:rsid w:val="00FC25A4"/>
    <w:rsid w:val="00FC2816"/>
    <w:rsid w:val="00FC2C89"/>
    <w:rsid w:val="00FC3EBE"/>
    <w:rsid w:val="00FD103E"/>
    <w:rsid w:val="00FD434F"/>
    <w:rsid w:val="00FE0749"/>
    <w:rsid w:val="00FE1162"/>
    <w:rsid w:val="00FE423C"/>
    <w:rsid w:val="00FE660A"/>
    <w:rsid w:val="00FE692B"/>
    <w:rsid w:val="00FF28FD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647"/>
    <w:rPr>
      <w:sz w:val="24"/>
      <w:szCs w:val="24"/>
    </w:rPr>
  </w:style>
  <w:style w:type="paragraph" w:styleId="8">
    <w:name w:val="heading 8"/>
    <w:basedOn w:val="a"/>
    <w:next w:val="9"/>
    <w:link w:val="80"/>
    <w:qFormat/>
    <w:rsid w:val="00DE6CA1"/>
    <w:pPr>
      <w:keepNext/>
      <w:keepLines/>
      <w:spacing w:before="12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E6C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7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02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lock Text"/>
    <w:basedOn w:val="a"/>
    <w:uiPriority w:val="99"/>
    <w:rsid w:val="00550B97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table" w:styleId="a4">
    <w:name w:val="Table Grid"/>
    <w:basedOn w:val="a1"/>
    <w:rsid w:val="00941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3A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3842AF"/>
    <w:pPr>
      <w:jc w:val="center"/>
    </w:pPr>
    <w:rPr>
      <w:szCs w:val="20"/>
    </w:rPr>
  </w:style>
  <w:style w:type="character" w:customStyle="1" w:styleId="a6">
    <w:name w:val="Основной текст Знак"/>
    <w:link w:val="a5"/>
    <w:rsid w:val="003842AF"/>
    <w:rPr>
      <w:sz w:val="24"/>
    </w:rPr>
  </w:style>
  <w:style w:type="paragraph" w:styleId="2">
    <w:name w:val="Body Text Indent 2"/>
    <w:basedOn w:val="a"/>
    <w:link w:val="20"/>
    <w:rsid w:val="009C6600"/>
    <w:pPr>
      <w:ind w:right="-1050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9C6600"/>
    <w:rPr>
      <w:sz w:val="28"/>
    </w:rPr>
  </w:style>
  <w:style w:type="paragraph" w:styleId="a7">
    <w:name w:val="Body Text Indent"/>
    <w:basedOn w:val="a"/>
    <w:link w:val="a8"/>
    <w:rsid w:val="00DE6CA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E6CA1"/>
    <w:rPr>
      <w:sz w:val="24"/>
      <w:szCs w:val="24"/>
    </w:rPr>
  </w:style>
  <w:style w:type="character" w:customStyle="1" w:styleId="80">
    <w:name w:val="Заголовок 8 Знак"/>
    <w:link w:val="8"/>
    <w:rsid w:val="00DE6CA1"/>
    <w:rPr>
      <w:sz w:val="28"/>
    </w:rPr>
  </w:style>
  <w:style w:type="paragraph" w:styleId="a9">
    <w:name w:val="Title"/>
    <w:basedOn w:val="a"/>
    <w:link w:val="aa"/>
    <w:qFormat/>
    <w:rsid w:val="00DE6CA1"/>
    <w:pPr>
      <w:spacing w:line="240" w:lineRule="exact"/>
      <w:ind w:left="10206"/>
      <w:jc w:val="center"/>
    </w:pPr>
    <w:rPr>
      <w:sz w:val="28"/>
      <w:szCs w:val="20"/>
    </w:rPr>
  </w:style>
  <w:style w:type="character" w:customStyle="1" w:styleId="aa">
    <w:name w:val="Название Знак"/>
    <w:link w:val="a9"/>
    <w:rsid w:val="00DE6CA1"/>
    <w:rPr>
      <w:sz w:val="28"/>
    </w:rPr>
  </w:style>
  <w:style w:type="character" w:customStyle="1" w:styleId="90">
    <w:name w:val="Заголовок 9 Знак"/>
    <w:link w:val="9"/>
    <w:semiHidden/>
    <w:rsid w:val="00DE6CA1"/>
    <w:rPr>
      <w:rFonts w:ascii="Cambria" w:eastAsia="Times New Roman" w:hAnsi="Cambria" w:cs="Times New Roman"/>
      <w:sz w:val="22"/>
      <w:szCs w:val="22"/>
    </w:rPr>
  </w:style>
  <w:style w:type="paragraph" w:styleId="ab">
    <w:name w:val="Balloon Text"/>
    <w:basedOn w:val="a"/>
    <w:link w:val="ac"/>
    <w:rsid w:val="002E445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E445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A276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27685"/>
    <w:rPr>
      <w:sz w:val="24"/>
      <w:szCs w:val="24"/>
    </w:rPr>
  </w:style>
  <w:style w:type="paragraph" w:styleId="af">
    <w:name w:val="footer"/>
    <w:basedOn w:val="a"/>
    <w:link w:val="af0"/>
    <w:rsid w:val="00A276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27685"/>
    <w:rPr>
      <w:sz w:val="24"/>
      <w:szCs w:val="24"/>
    </w:rPr>
  </w:style>
  <w:style w:type="paragraph" w:customStyle="1" w:styleId="ConsNormal">
    <w:name w:val="ConsNormal"/>
    <w:rsid w:val="00E23E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uiPriority w:val="35"/>
    <w:qFormat/>
    <w:rsid w:val="00A016C5"/>
    <w:pPr>
      <w:ind w:left="-1090"/>
      <w:jc w:val="center"/>
    </w:pPr>
    <w:rPr>
      <w:b/>
      <w:bCs/>
      <w:sz w:val="28"/>
    </w:rPr>
  </w:style>
  <w:style w:type="paragraph" w:styleId="af2">
    <w:name w:val="List Paragraph"/>
    <w:basedOn w:val="a"/>
    <w:uiPriority w:val="34"/>
    <w:qFormat/>
    <w:rsid w:val="00060E20"/>
    <w:pPr>
      <w:ind w:left="720"/>
      <w:contextualSpacing/>
    </w:pPr>
  </w:style>
  <w:style w:type="paragraph" w:customStyle="1" w:styleId="ConsPlusTitle">
    <w:name w:val="ConsPlusTitle"/>
    <w:rsid w:val="001B5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">
    <w:name w:val="Сетка таблицы1"/>
    <w:basedOn w:val="a1"/>
    <w:next w:val="a4"/>
    <w:uiPriority w:val="59"/>
    <w:rsid w:val="001B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647"/>
    <w:rPr>
      <w:sz w:val="24"/>
      <w:szCs w:val="24"/>
    </w:rPr>
  </w:style>
  <w:style w:type="paragraph" w:styleId="8">
    <w:name w:val="heading 8"/>
    <w:basedOn w:val="a"/>
    <w:next w:val="9"/>
    <w:link w:val="80"/>
    <w:qFormat/>
    <w:rsid w:val="00DE6CA1"/>
    <w:pPr>
      <w:keepNext/>
      <w:keepLines/>
      <w:spacing w:before="120"/>
      <w:jc w:val="center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DE6C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7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02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lock Text"/>
    <w:basedOn w:val="a"/>
    <w:uiPriority w:val="99"/>
    <w:rsid w:val="00550B97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table" w:styleId="a4">
    <w:name w:val="Table Grid"/>
    <w:basedOn w:val="a1"/>
    <w:rsid w:val="00941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3A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ody Text"/>
    <w:basedOn w:val="a"/>
    <w:link w:val="a6"/>
    <w:rsid w:val="003842AF"/>
    <w:pPr>
      <w:jc w:val="center"/>
    </w:pPr>
    <w:rPr>
      <w:szCs w:val="20"/>
    </w:rPr>
  </w:style>
  <w:style w:type="character" w:customStyle="1" w:styleId="a6">
    <w:name w:val="Основной текст Знак"/>
    <w:link w:val="a5"/>
    <w:rsid w:val="003842AF"/>
    <w:rPr>
      <w:sz w:val="24"/>
    </w:rPr>
  </w:style>
  <w:style w:type="paragraph" w:styleId="2">
    <w:name w:val="Body Text Indent 2"/>
    <w:basedOn w:val="a"/>
    <w:link w:val="20"/>
    <w:rsid w:val="009C6600"/>
    <w:pPr>
      <w:ind w:right="-1050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9C6600"/>
    <w:rPr>
      <w:sz w:val="28"/>
    </w:rPr>
  </w:style>
  <w:style w:type="paragraph" w:styleId="a7">
    <w:name w:val="Body Text Indent"/>
    <w:basedOn w:val="a"/>
    <w:link w:val="a8"/>
    <w:rsid w:val="00DE6CA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DE6CA1"/>
    <w:rPr>
      <w:sz w:val="24"/>
      <w:szCs w:val="24"/>
    </w:rPr>
  </w:style>
  <w:style w:type="character" w:customStyle="1" w:styleId="80">
    <w:name w:val="Заголовок 8 Знак"/>
    <w:link w:val="8"/>
    <w:rsid w:val="00DE6CA1"/>
    <w:rPr>
      <w:sz w:val="28"/>
    </w:rPr>
  </w:style>
  <w:style w:type="paragraph" w:styleId="a9">
    <w:name w:val="Title"/>
    <w:basedOn w:val="a"/>
    <w:link w:val="aa"/>
    <w:qFormat/>
    <w:rsid w:val="00DE6CA1"/>
    <w:pPr>
      <w:spacing w:line="240" w:lineRule="exact"/>
      <w:ind w:left="10206"/>
      <w:jc w:val="center"/>
    </w:pPr>
    <w:rPr>
      <w:sz w:val="28"/>
      <w:szCs w:val="20"/>
    </w:rPr>
  </w:style>
  <w:style w:type="character" w:customStyle="1" w:styleId="aa">
    <w:name w:val="Название Знак"/>
    <w:link w:val="a9"/>
    <w:rsid w:val="00DE6CA1"/>
    <w:rPr>
      <w:sz w:val="28"/>
    </w:rPr>
  </w:style>
  <w:style w:type="character" w:customStyle="1" w:styleId="90">
    <w:name w:val="Заголовок 9 Знак"/>
    <w:link w:val="9"/>
    <w:semiHidden/>
    <w:rsid w:val="00DE6CA1"/>
    <w:rPr>
      <w:rFonts w:ascii="Cambria" w:eastAsia="Times New Roman" w:hAnsi="Cambria" w:cs="Times New Roman"/>
      <w:sz w:val="22"/>
      <w:szCs w:val="22"/>
    </w:rPr>
  </w:style>
  <w:style w:type="paragraph" w:styleId="ab">
    <w:name w:val="Balloon Text"/>
    <w:basedOn w:val="a"/>
    <w:link w:val="ac"/>
    <w:rsid w:val="002E445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E445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A276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27685"/>
    <w:rPr>
      <w:sz w:val="24"/>
      <w:szCs w:val="24"/>
    </w:rPr>
  </w:style>
  <w:style w:type="paragraph" w:styleId="af">
    <w:name w:val="footer"/>
    <w:basedOn w:val="a"/>
    <w:link w:val="af0"/>
    <w:rsid w:val="00A276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A27685"/>
    <w:rPr>
      <w:sz w:val="24"/>
      <w:szCs w:val="24"/>
    </w:rPr>
  </w:style>
  <w:style w:type="paragraph" w:customStyle="1" w:styleId="ConsNormal">
    <w:name w:val="ConsNormal"/>
    <w:rsid w:val="00E23E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uiPriority w:val="35"/>
    <w:qFormat/>
    <w:rsid w:val="00A016C5"/>
    <w:pPr>
      <w:ind w:left="-1090"/>
      <w:jc w:val="center"/>
    </w:pPr>
    <w:rPr>
      <w:b/>
      <w:bCs/>
      <w:sz w:val="28"/>
    </w:rPr>
  </w:style>
  <w:style w:type="paragraph" w:styleId="af2">
    <w:name w:val="List Paragraph"/>
    <w:basedOn w:val="a"/>
    <w:uiPriority w:val="34"/>
    <w:qFormat/>
    <w:rsid w:val="00060E20"/>
    <w:pPr>
      <w:ind w:left="720"/>
      <w:contextualSpacing/>
    </w:pPr>
  </w:style>
  <w:style w:type="paragraph" w:customStyle="1" w:styleId="ConsPlusTitle">
    <w:name w:val="ConsPlusTitle"/>
    <w:rsid w:val="001B5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">
    <w:name w:val="Сетка таблицы1"/>
    <w:basedOn w:val="a1"/>
    <w:next w:val="a4"/>
    <w:uiPriority w:val="59"/>
    <w:rsid w:val="001B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"Планирование бюджета"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0.69</c:v>
                </c:pt>
                <c:pt idx="1">
                  <c:v>0.46</c:v>
                </c:pt>
                <c:pt idx="2">
                  <c:v>0.6</c:v>
                </c:pt>
                <c:pt idx="3">
                  <c:v>0.55000000000000004</c:v>
                </c:pt>
                <c:pt idx="4">
                  <c:v>0.46</c:v>
                </c:pt>
                <c:pt idx="5">
                  <c:v>0.49</c:v>
                </c:pt>
                <c:pt idx="6">
                  <c:v>0.49</c:v>
                </c:pt>
                <c:pt idx="7">
                  <c:v>0.56999999999999995</c:v>
                </c:pt>
                <c:pt idx="8">
                  <c:v>0.8</c:v>
                </c:pt>
                <c:pt idx="9">
                  <c:v>0.82</c:v>
                </c:pt>
                <c:pt idx="10">
                  <c:v>0.79</c:v>
                </c:pt>
                <c:pt idx="11">
                  <c:v>0.97</c:v>
                </c:pt>
                <c:pt idx="12">
                  <c:v>0.78</c:v>
                </c:pt>
                <c:pt idx="13">
                  <c:v>0.8</c:v>
                </c:pt>
                <c:pt idx="14">
                  <c:v>0.57999999999999996</c:v>
                </c:pt>
                <c:pt idx="15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Лист1!$C$2:$C$17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Лист1!$D$2:$D$17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128128"/>
        <c:axId val="64129664"/>
      </c:barChart>
      <c:catAx>
        <c:axId val="64128128"/>
        <c:scaling>
          <c:orientation val="minMax"/>
        </c:scaling>
        <c:delete val="0"/>
        <c:axPos val="l"/>
        <c:majorTickMark val="out"/>
        <c:minorTickMark val="none"/>
        <c:tickLblPos val="nextTo"/>
        <c:crossAx val="64129664"/>
        <c:crosses val="autoZero"/>
        <c:auto val="1"/>
        <c:lblAlgn val="ctr"/>
        <c:lblOffset val="100"/>
        <c:noMultiLvlLbl val="0"/>
      </c:catAx>
      <c:valAx>
        <c:axId val="64129664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641281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"Исполнение бюджета"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7481907945491558"/>
          <c:y val="0.11993532740501213"/>
          <c:w val="0.4858260210324043"/>
          <c:h val="0.764408175736319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"Исполнение бюджета"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1.52</c:v>
                </c:pt>
                <c:pt idx="1">
                  <c:v>1.33</c:v>
                </c:pt>
                <c:pt idx="2">
                  <c:v>1.52</c:v>
                </c:pt>
                <c:pt idx="3">
                  <c:v>1.71</c:v>
                </c:pt>
                <c:pt idx="4">
                  <c:v>1.28</c:v>
                </c:pt>
                <c:pt idx="5">
                  <c:v>1.28</c:v>
                </c:pt>
                <c:pt idx="6">
                  <c:v>1.66</c:v>
                </c:pt>
                <c:pt idx="7">
                  <c:v>1.35</c:v>
                </c:pt>
                <c:pt idx="8">
                  <c:v>1.29</c:v>
                </c:pt>
                <c:pt idx="9">
                  <c:v>1.25</c:v>
                </c:pt>
                <c:pt idx="10">
                  <c:v>1.26</c:v>
                </c:pt>
                <c:pt idx="11">
                  <c:v>0.96</c:v>
                </c:pt>
                <c:pt idx="12" formatCode="0.00">
                  <c:v>1.4</c:v>
                </c:pt>
                <c:pt idx="13">
                  <c:v>1.17</c:v>
                </c:pt>
                <c:pt idx="14">
                  <c:v>0.97</c:v>
                </c:pt>
                <c:pt idx="15">
                  <c:v>1.1599999999999999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Лист1!$C$2:$C$17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Лист1!$D$2:$D$17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780800"/>
        <c:axId val="110782336"/>
      </c:barChart>
      <c:catAx>
        <c:axId val="110780800"/>
        <c:scaling>
          <c:orientation val="minMax"/>
        </c:scaling>
        <c:delete val="0"/>
        <c:axPos val="l"/>
        <c:majorTickMark val="out"/>
        <c:minorTickMark val="none"/>
        <c:tickLblPos val="nextTo"/>
        <c:crossAx val="110782336"/>
        <c:crosses val="autoZero"/>
        <c:auto val="1"/>
        <c:lblAlgn val="ctr"/>
        <c:lblOffset val="100"/>
        <c:noMultiLvlLbl val="0"/>
      </c:catAx>
      <c:valAx>
        <c:axId val="11078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7808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"Учет</a:t>
            </a:r>
            <a:r>
              <a:rPr lang="ru-RU" sz="1400" baseline="0"/>
              <a:t> о отчетность</a:t>
            </a:r>
            <a:r>
              <a:rPr lang="ru-RU" sz="1400"/>
              <a:t>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351648293761915"/>
          <c:y val="8.7495725625983789E-2"/>
          <c:w val="0.52602804222961574"/>
          <c:h val="0.835960794755728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"Планирование бюджета"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1</c:v>
                </c:pt>
                <c:pt idx="1">
                  <c:v>0.94</c:v>
                </c:pt>
                <c:pt idx="2">
                  <c:v>0.94</c:v>
                </c:pt>
                <c:pt idx="3">
                  <c:v>1</c:v>
                </c:pt>
                <c:pt idx="4">
                  <c:v>0.94</c:v>
                </c:pt>
                <c:pt idx="5">
                  <c:v>1</c:v>
                </c:pt>
                <c:pt idx="6">
                  <c:v>0.94</c:v>
                </c:pt>
                <c:pt idx="7">
                  <c:v>0.94</c:v>
                </c:pt>
                <c:pt idx="8">
                  <c:v>1</c:v>
                </c:pt>
                <c:pt idx="9">
                  <c:v>0.94</c:v>
                </c:pt>
                <c:pt idx="10">
                  <c:v>0.78</c:v>
                </c:pt>
                <c:pt idx="11">
                  <c:v>0.72</c:v>
                </c:pt>
                <c:pt idx="12">
                  <c:v>1</c:v>
                </c:pt>
                <c:pt idx="13">
                  <c:v>0.94</c:v>
                </c:pt>
                <c:pt idx="14">
                  <c:v>0.94</c:v>
                </c:pt>
                <c:pt idx="1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Лист1!$C$2:$C$17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Лист1!$D$2:$D$17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843776"/>
        <c:axId val="110845312"/>
      </c:barChart>
      <c:catAx>
        <c:axId val="110843776"/>
        <c:scaling>
          <c:orientation val="minMax"/>
        </c:scaling>
        <c:delete val="0"/>
        <c:axPos val="l"/>
        <c:majorTickMark val="out"/>
        <c:minorTickMark val="none"/>
        <c:tickLblPos val="nextTo"/>
        <c:crossAx val="110845312"/>
        <c:crosses val="autoZero"/>
        <c:auto val="1"/>
        <c:lblAlgn val="ctr"/>
        <c:lblOffset val="100"/>
        <c:noMultiLvlLbl val="0"/>
      </c:catAx>
      <c:valAx>
        <c:axId val="110845312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110843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"Осуществление функций и полномочий учредителя в отношении муниципальных учреждений НМО СК"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4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1694166327383984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51648293761915"/>
          <c:y val="0.11345006270250002"/>
          <c:w val="0.53420484573828975"/>
          <c:h val="0.794898910363477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Лист1!$B$2:$B$17</c:f>
              <c:numCache>
                <c:formatCode>0.00</c:formatCode>
                <c:ptCount val="16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1</c:v>
                </c:pt>
                <c:pt idx="11">
                  <c:v>1</c:v>
                </c:pt>
                <c:pt idx="12">
                  <c:v>0.67</c:v>
                </c:pt>
                <c:pt idx="13">
                  <c:v>0.5</c:v>
                </c:pt>
                <c:pt idx="14">
                  <c:v>1</c:v>
                </c:pt>
                <c:pt idx="15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Лист1!$C$2:$C$17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Лист1!$D$2:$D$17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211072"/>
        <c:axId val="112212608"/>
      </c:barChart>
      <c:catAx>
        <c:axId val="11221107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2212608"/>
        <c:crosses val="autoZero"/>
        <c:auto val="1"/>
        <c:lblAlgn val="l"/>
        <c:lblOffset val="100"/>
        <c:noMultiLvlLbl val="0"/>
      </c:catAx>
      <c:valAx>
        <c:axId val="112212608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112211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"</a:t>
            </a:r>
            <a:r>
              <a:rPr lang="ru-RU" sz="1440" b="1" i="0" u="none" strike="noStrike" baseline="0">
                <a:effectLst/>
              </a:rPr>
              <a:t>Соблюдение бюджетного законодательства и осуществление внутреннего финансового контроля и внутреннего финансового аудита</a:t>
            </a:r>
            <a:r>
              <a:rPr lang="ru-RU"/>
              <a:t>"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1711714880334466"/>
          <c:y val="0.183216267616782"/>
          <c:w val="0.55288724058062277"/>
          <c:h val="0.7289531800380931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"Планирование бюджета"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0.83</c:v>
                </c:pt>
                <c:pt idx="1">
                  <c:v>0.83</c:v>
                </c:pt>
                <c:pt idx="2">
                  <c:v>0.67</c:v>
                </c:pt>
                <c:pt idx="3">
                  <c:v>0.83</c:v>
                </c:pt>
                <c:pt idx="4">
                  <c:v>0.83</c:v>
                </c:pt>
                <c:pt idx="5">
                  <c:v>0.83</c:v>
                </c:pt>
                <c:pt idx="6">
                  <c:v>0.83</c:v>
                </c:pt>
                <c:pt idx="7">
                  <c:v>0.83</c:v>
                </c:pt>
                <c:pt idx="8">
                  <c:v>0.83</c:v>
                </c:pt>
                <c:pt idx="9">
                  <c:v>0.83</c:v>
                </c:pt>
                <c:pt idx="10">
                  <c:v>0.67</c:v>
                </c:pt>
                <c:pt idx="11">
                  <c:v>0.67</c:v>
                </c:pt>
                <c:pt idx="12">
                  <c:v>0.83</c:v>
                </c:pt>
                <c:pt idx="13">
                  <c:v>0.83</c:v>
                </c:pt>
                <c:pt idx="14">
                  <c:v>0.67</c:v>
                </c:pt>
                <c:pt idx="15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Лист1!$C$2:$C$17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16"/>
                <c:pt idx="0">
                  <c:v>ТО АНМО в пос.Щелкан </c:v>
                </c:pt>
                <c:pt idx="1">
                  <c:v>ТО АНМО в с.Чернолесское </c:v>
                </c:pt>
                <c:pt idx="2">
                  <c:v>ТО  АНМО в с.Падинское </c:v>
                </c:pt>
                <c:pt idx="3">
                  <c:v>Новомаякский ТО АНМО </c:v>
                </c:pt>
                <c:pt idx="4">
                  <c:v>ТО АНМО в  с.Новоселицкое </c:v>
                </c:pt>
                <c:pt idx="5">
                  <c:v>ТО  АНМО в  с.Китаевское </c:v>
                </c:pt>
                <c:pt idx="6">
                  <c:v>Журавский  ТО    АНМО</c:v>
                </c:pt>
                <c:pt idx="7">
                  <c:v>ТО  АНМО в с.Долиновка  </c:v>
                </c:pt>
                <c:pt idx="8">
                  <c:v>Контрольно-счетная палата НМО</c:v>
                </c:pt>
                <c:pt idx="9">
                  <c:v>Управление труда и социальной защиты населения АНМО</c:v>
                </c:pt>
                <c:pt idx="10">
                  <c:v>Отдел культуры АНМО</c:v>
                </c:pt>
                <c:pt idx="11">
                  <c:v>Отдел образования АНМО</c:v>
                </c:pt>
                <c:pt idx="12">
                  <c:v>Финансовое управление АНМО</c:v>
                </c:pt>
                <c:pt idx="13">
                  <c:v>Отдел имущественных и земельных отношений АНМО</c:v>
                </c:pt>
                <c:pt idx="14">
                  <c:v>Администрация НМО</c:v>
                </c:pt>
                <c:pt idx="15">
                  <c:v>Совет НМО</c:v>
                </c:pt>
              </c:strCache>
            </c:strRef>
          </c:cat>
          <c:val>
            <c:numRef>
              <c:f>Лист1!$D$2:$D$17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36704"/>
        <c:axId val="113338240"/>
      </c:barChart>
      <c:catAx>
        <c:axId val="11333670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3338240"/>
        <c:crosses val="autoZero"/>
        <c:auto val="1"/>
        <c:lblAlgn val="ctr"/>
        <c:lblOffset val="100"/>
        <c:noMultiLvlLbl val="0"/>
      </c:catAx>
      <c:valAx>
        <c:axId val="113338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33367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effectLst/>
              </a:rPr>
              <a:t>Итоговый рейтинг ОМС, не имеющих подведомственные учреждения </a:t>
            </a:r>
            <a:endParaRPr lang="ru-RU" sz="1400">
              <a:effectLst/>
            </a:endParaRPr>
          </a:p>
          <a:p>
            <a:pPr>
              <a:defRPr/>
            </a:pPr>
            <a:r>
              <a:rPr lang="ru-RU" sz="1400" b="1" i="0" baseline="0">
                <a:effectLst/>
              </a:rPr>
              <a:t>за 2022 год</a:t>
            </a:r>
            <a:endParaRPr lang="ru-RU" sz="1400">
              <a:effectLst/>
            </a:endParaRP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4721824875662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51648293761915"/>
          <c:y val="0.23177230097608198"/>
          <c:w val="0.53420484573828975"/>
          <c:h val="0.660263515787890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Новомаякский ТО АНМО </c:v>
                </c:pt>
                <c:pt idx="1">
                  <c:v> Журавский  ТО    АНМО</c:v>
                </c:pt>
                <c:pt idx="2">
                  <c:v>ТО АНМО в пос.Щелкан </c:v>
                </c:pt>
                <c:pt idx="3">
                  <c:v>ТО  АНМО в с.Падинское </c:v>
                </c:pt>
                <c:pt idx="4">
                  <c:v>Контрольно-счетная палата НМО </c:v>
                </c:pt>
                <c:pt idx="5">
                  <c:v>Управление труда и социальной защиты населения АНМО</c:v>
                </c:pt>
                <c:pt idx="6">
                  <c:v>ТО  АНМО в с.Долиновка</c:v>
                </c:pt>
                <c:pt idx="7">
                  <c:v>ТО АНМО села Чернолесское</c:v>
                </c:pt>
                <c:pt idx="8">
                  <c:v>Отдел имущественных и земельных отношений АНМО</c:v>
                </c:pt>
                <c:pt idx="9">
                  <c:v>Совет НМО </c:v>
                </c:pt>
                <c:pt idx="10">
                  <c:v>ТО  АНМО в  с.Китаевское </c:v>
                </c:pt>
                <c:pt idx="11">
                  <c:v>ТО АНМО в  с.Новоселицкое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2"/>
                <c:pt idx="0">
                  <c:v>107.66</c:v>
                </c:pt>
                <c:pt idx="1">
                  <c:v>104.09</c:v>
                </c:pt>
                <c:pt idx="2">
                  <c:v>102.77</c:v>
                </c:pt>
                <c:pt idx="3">
                  <c:v>98.72</c:v>
                </c:pt>
                <c:pt idx="4">
                  <c:v>95.86</c:v>
                </c:pt>
                <c:pt idx="5">
                  <c:v>94.25</c:v>
                </c:pt>
                <c:pt idx="6">
                  <c:v>93.24</c:v>
                </c:pt>
                <c:pt idx="7">
                  <c:v>90.19</c:v>
                </c:pt>
                <c:pt idx="8">
                  <c:v>90.69</c:v>
                </c:pt>
                <c:pt idx="9">
                  <c:v>90.16</c:v>
                </c:pt>
                <c:pt idx="10">
                  <c:v>89.49</c:v>
                </c:pt>
                <c:pt idx="11">
                  <c:v>88.2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Новомаякский ТО АНМО </c:v>
                </c:pt>
                <c:pt idx="1">
                  <c:v> Журавский  ТО    АНМО</c:v>
                </c:pt>
                <c:pt idx="2">
                  <c:v>ТО АНМО в пос.Щелкан </c:v>
                </c:pt>
                <c:pt idx="3">
                  <c:v>ТО  АНМО в с.Падинское </c:v>
                </c:pt>
                <c:pt idx="4">
                  <c:v>Контрольно-счетная палата НМО </c:v>
                </c:pt>
                <c:pt idx="5">
                  <c:v>Управление труда и социальной защиты населения АНМО</c:v>
                </c:pt>
                <c:pt idx="6">
                  <c:v>ТО  АНМО в с.Долиновка</c:v>
                </c:pt>
                <c:pt idx="7">
                  <c:v>ТО АНМО села Чернолесское</c:v>
                </c:pt>
                <c:pt idx="8">
                  <c:v>Отдел имущественных и земельных отношений АНМО</c:v>
                </c:pt>
                <c:pt idx="9">
                  <c:v>Совет НМО </c:v>
                </c:pt>
                <c:pt idx="10">
                  <c:v>ТО  АНМО в  с.Китаевское </c:v>
                </c:pt>
                <c:pt idx="11">
                  <c:v>ТО АНМО в  с.Новоселицкое</c:v>
                </c:pt>
              </c:strCache>
            </c:strRef>
          </c:cat>
          <c:val>
            <c:numRef>
              <c:f>Лист1!$C$2:$C$13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Новомаякский ТО АНМО </c:v>
                </c:pt>
                <c:pt idx="1">
                  <c:v> Журавский  ТО    АНМО</c:v>
                </c:pt>
                <c:pt idx="2">
                  <c:v>ТО АНМО в пос.Щелкан </c:v>
                </c:pt>
                <c:pt idx="3">
                  <c:v>ТО  АНМО в с.Падинское </c:v>
                </c:pt>
                <c:pt idx="4">
                  <c:v>Контрольно-счетная палата НМО </c:v>
                </c:pt>
                <c:pt idx="5">
                  <c:v>Управление труда и социальной защиты населения АНМО</c:v>
                </c:pt>
                <c:pt idx="6">
                  <c:v>ТО  АНМО в с.Долиновка</c:v>
                </c:pt>
                <c:pt idx="7">
                  <c:v>ТО АНМО села Чернолесское</c:v>
                </c:pt>
                <c:pt idx="8">
                  <c:v>Отдел имущественных и земельных отношений АНМО</c:v>
                </c:pt>
                <c:pt idx="9">
                  <c:v>Совет НМО </c:v>
                </c:pt>
                <c:pt idx="10">
                  <c:v>ТО  АНМО в  с.Китаевское </c:v>
                </c:pt>
                <c:pt idx="11">
                  <c:v>ТО АНМО в  с.Новоселицкое</c:v>
                </c:pt>
              </c:strCache>
            </c:strRef>
          </c:cat>
          <c:val>
            <c:numRef>
              <c:f>Лист1!$D$2:$D$13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72544"/>
        <c:axId val="113382528"/>
      </c:barChart>
      <c:catAx>
        <c:axId val="113372544"/>
        <c:scaling>
          <c:orientation val="minMax"/>
        </c:scaling>
        <c:delete val="0"/>
        <c:axPos val="l"/>
        <c:majorTickMark val="out"/>
        <c:minorTickMark val="none"/>
        <c:tickLblPos val="nextTo"/>
        <c:crossAx val="113382528"/>
        <c:crosses val="autoZero"/>
        <c:auto val="1"/>
        <c:lblAlgn val="ctr"/>
        <c:lblOffset val="100"/>
        <c:noMultiLvlLbl val="0"/>
      </c:catAx>
      <c:valAx>
        <c:axId val="113382528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1133725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baseline="0">
                <a:effectLst/>
              </a:rPr>
              <a:t>Итоговый рейтинг ОМС, имеющих подведомственные учреждения </a:t>
            </a:r>
            <a:endParaRPr lang="ru-RU">
              <a:effectLst/>
            </a:endParaRPr>
          </a:p>
          <a:p>
            <a:pPr>
              <a:defRPr/>
            </a:pPr>
            <a:r>
              <a:rPr lang="ru-RU" sz="1800" b="1" i="0" baseline="0">
                <a:effectLst/>
              </a:rPr>
              <a:t>за 2022 год</a:t>
            </a:r>
            <a:endParaRPr lang="ru-RU">
              <a:effectLst/>
            </a:endParaRP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694166327383984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351648293761915"/>
          <c:y val="0.31974696622579879"/>
          <c:w val="0.53420484573828975"/>
          <c:h val="0.530434930469644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Финансовое управление АНМО</c:v>
                </c:pt>
                <c:pt idx="1">
                  <c:v>Отдел культуры НМО</c:v>
                </c:pt>
                <c:pt idx="2">
                  <c:v>Отдел образования АНМО</c:v>
                </c:pt>
                <c:pt idx="3">
                  <c:v>Администрация НМО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103.21</c:v>
                </c:pt>
                <c:pt idx="1">
                  <c:v>100.84</c:v>
                </c:pt>
                <c:pt idx="2">
                  <c:v>91.47</c:v>
                </c:pt>
                <c:pt idx="3">
                  <c:v>86.6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Финансовое управление АНМО</c:v>
                </c:pt>
                <c:pt idx="1">
                  <c:v>Отдел культуры НМО</c:v>
                </c:pt>
                <c:pt idx="2">
                  <c:v>Отдел образования АНМО</c:v>
                </c:pt>
                <c:pt idx="3">
                  <c:v>Администрация НМО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Финансовое управление АНМО</c:v>
                </c:pt>
                <c:pt idx="1">
                  <c:v>Отдел культуры НМО</c:v>
                </c:pt>
                <c:pt idx="2">
                  <c:v>Отдел образования АНМО</c:v>
                </c:pt>
                <c:pt idx="3">
                  <c:v>Администрация НМО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707648"/>
        <c:axId val="113721728"/>
      </c:barChart>
      <c:catAx>
        <c:axId val="113707648"/>
        <c:scaling>
          <c:orientation val="minMax"/>
        </c:scaling>
        <c:delete val="0"/>
        <c:axPos val="l"/>
        <c:majorTickMark val="out"/>
        <c:minorTickMark val="none"/>
        <c:tickLblPos val="nextTo"/>
        <c:crossAx val="113721728"/>
        <c:crosses val="autoZero"/>
        <c:auto val="1"/>
        <c:lblAlgn val="ctr"/>
        <c:lblOffset val="100"/>
        <c:noMultiLvlLbl val="0"/>
      </c:catAx>
      <c:valAx>
        <c:axId val="113721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37076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B014-3EBD-46CE-9918-E7441135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1374</Words>
  <Characters>10878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ААМР СК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Az1</cp:lastModifiedBy>
  <cp:revision>18</cp:revision>
  <cp:lastPrinted>2023-06-06T06:28:00Z</cp:lastPrinted>
  <dcterms:created xsi:type="dcterms:W3CDTF">2021-07-01T07:57:00Z</dcterms:created>
  <dcterms:modified xsi:type="dcterms:W3CDTF">2023-06-06T07:22:00Z</dcterms:modified>
</cp:coreProperties>
</file>